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rPr>
          <w:b w:val="1"/>
          <w:bCs w:val="1"/>
          <w:outline w:val="0"/>
          <w:color w:val="4f81bd"/>
          <w:u w:color="4f81bd"/>
          <w14:textFill>
            <w14:solidFill>
              <w14:srgbClr w14:val="4F81BD"/>
            </w14:solidFill>
          </w14:textFill>
        </w:rPr>
      </w:pPr>
      <w:r>
        <w:rPr>
          <w:b w:val="1"/>
          <w:bCs w:val="1"/>
          <w:outline w:val="0"/>
          <w:color w:val="4f81bd"/>
          <w:u w:color="4f81bd"/>
          <w:rtl w:val="0"/>
          <w:lang w:val="de-DE"/>
          <w14:textFill>
            <w14:solidFill>
              <w14:srgbClr w14:val="4F81BD"/>
            </w14:solidFill>
          </w14:textFill>
        </w:rPr>
        <w:t>[Name, Adresse]</w:t>
        <w:tab/>
        <w:tab/>
        <w:tab/>
        <w:tab/>
        <w:tab/>
        <w:tab/>
        <w:tab/>
        <w:tab/>
        <w:tab/>
        <w:t>[Ort, Datum]</w:t>
      </w:r>
    </w:p>
    <w:p>
      <w:pPr>
        <w:pStyle w:val="Normal.0"/>
        <w:rPr>
          <w:b w:val="1"/>
          <w:bCs w:val="1"/>
        </w:rPr>
      </w:pPr>
    </w:p>
    <w:p>
      <w:pPr>
        <w:pStyle w:val="Normal.0"/>
      </w:pPr>
      <w:r>
        <w:rPr>
          <w:rtl w:val="0"/>
          <w:lang w:val="de-DE"/>
        </w:rPr>
        <w:t xml:space="preserve">Durch </w:t>
      </w:r>
      <w:r>
        <w:rPr>
          <w:rtl w:val="0"/>
          <w:lang w:val="de-DE"/>
        </w:rPr>
        <w:t>Ü</w:t>
      </w:r>
      <w:r>
        <w:rPr>
          <w:rtl w:val="0"/>
          <w:lang w:val="de-DE"/>
        </w:rPr>
        <w:t>berbringer</w:t>
      </w:r>
      <w:r>
        <w:rPr>
          <w:rStyle w:val="footnote reference"/>
          <w:rFonts w:ascii="Calibri" w:cs="Calibri" w:hAnsi="Calibri" w:eastAsia="Calibri"/>
          <w:b w:val="0"/>
          <w:bCs w:val="0"/>
          <w:i w:val="0"/>
          <w:iCs w:val="0"/>
        </w:rPr>
        <w:footnoteReference w:id="1"/>
      </w:r>
    </w:p>
    <w:p>
      <w:pPr>
        <w:pStyle w:val="Normal.0"/>
        <w:rPr>
          <w:b w:val="1"/>
          <w:bCs w:val="1"/>
        </w:rPr>
      </w:pPr>
      <w:r>
        <w:rPr>
          <w:outline w:val="0"/>
          <w:color w:val="4f81bd"/>
          <w:u w:color="4f81bd"/>
          <w:rtl w:val="0"/>
          <w:lang w:val="de-DE"/>
          <w14:textFill>
            <w14:solidFill>
              <w14:srgbClr w14:val="4F81BD"/>
            </w14:solidFill>
          </w14:textFill>
        </w:rPr>
        <w:t>[Adresse der zust</w:t>
      </w:r>
      <w:r>
        <w:rPr>
          <w:outline w:val="0"/>
          <w:color w:val="4f81bd"/>
          <w:u w:color="4f81bd"/>
          <w:rtl w:val="0"/>
          <w:lang w:val="de-DE"/>
          <w14:textFill>
            <w14:solidFill>
              <w14:srgbClr w14:val="4F81BD"/>
            </w14:solidFill>
          </w14:textFill>
        </w:rPr>
        <w:t>ä</w:t>
      </w:r>
      <w:r>
        <w:rPr>
          <w:outline w:val="0"/>
          <w:color w:val="4f81bd"/>
          <w:u w:color="4f81bd"/>
          <w:rtl w:val="0"/>
          <w:lang w:val="de-DE"/>
          <w14:textFill>
            <w14:solidFill>
              <w14:srgbClr w14:val="4F81BD"/>
            </w14:solidFill>
          </w14:textFill>
        </w:rPr>
        <w:t>ndigen Au</w:t>
      </w:r>
      <w:r>
        <w:rPr>
          <w:outline w:val="0"/>
          <w:color w:val="4f81bd"/>
          <w:u w:color="4f81bd"/>
          <w:rtl w:val="0"/>
          <w:lang w:val="de-DE"/>
          <w14:textFill>
            <w14:solidFill>
              <w14:srgbClr w14:val="4F81BD"/>
            </w14:solidFill>
          </w14:textFill>
        </w:rPr>
        <w:t>ß</w:t>
      </w:r>
      <w:r>
        <w:rPr>
          <w:outline w:val="0"/>
          <w:color w:val="4f81bd"/>
          <w:u w:color="4f81bd"/>
          <w:rtl w:val="0"/>
          <w:lang w:val="de-DE"/>
          <w14:textFill>
            <w14:solidFill>
              <w14:srgbClr w14:val="4F81BD"/>
            </w14:solidFill>
          </w14:textFill>
        </w:rPr>
        <w:t>enstelle des BAMF</w:t>
      </w:r>
      <w:r>
        <w:rPr>
          <w:rFonts w:ascii="Calibri" w:cs="Calibri" w:hAnsi="Calibri" w:eastAsia="Calibri"/>
          <w:b w:val="0"/>
          <w:bCs w:val="0"/>
          <w:i w:val="0"/>
          <w:iCs w:val="0"/>
          <w:outline w:val="0"/>
          <w:color w:val="4f81bd"/>
          <w:u w:color="4f81bd"/>
          <w:vertAlign w:val="superscript"/>
          <w14:textFill>
            <w14:solidFill>
              <w14:srgbClr w14:val="4F81BD"/>
            </w14:solidFill>
          </w14:textFill>
        </w:rPr>
        <w:footnoteReference w:id="2"/>
      </w:r>
      <w:r>
        <w:rPr>
          <w:outline w:val="0"/>
          <w:color w:val="4f81bd"/>
          <w:u w:color="4f81bd"/>
          <w:rtl w:val="0"/>
          <w:lang w:val="de-DE"/>
          <w14:textFill>
            <w14:solidFill>
              <w14:srgbClr w14:val="4F81BD"/>
            </w14:solidFill>
          </w14:textFill>
        </w:rPr>
        <w:t>]</w:t>
      </w:r>
    </w:p>
    <w:p>
      <w:pPr>
        <w:pStyle w:val="Normal.0"/>
        <w:tabs>
          <w:tab w:val="left" w:pos="5507"/>
        </w:tabs>
      </w:pPr>
      <w:r>
        <w:tab/>
      </w:r>
    </w:p>
    <w:p>
      <w:pPr>
        <w:pStyle w:val="Normal.0"/>
      </w:pPr>
    </w:p>
    <w:p>
      <w:pPr>
        <w:pStyle w:val="Normal.0"/>
      </w:pPr>
    </w:p>
    <w:p>
      <w:pPr>
        <w:pStyle w:val="Normal.0"/>
        <w:rPr>
          <w:outline w:val="0"/>
          <w:color w:val="4f81bd"/>
          <w:u w:color="4f81bd"/>
          <w14:textFill>
            <w14:solidFill>
              <w14:srgbClr w14:val="4F81BD"/>
            </w14:solidFill>
          </w14:textFill>
        </w:rPr>
      </w:pPr>
      <w:r>
        <w:rPr>
          <w:rtl w:val="0"/>
          <w:lang w:val="de-DE"/>
        </w:rPr>
        <w:t>Asylverfahren des syrischen Staatsangeh</w:t>
      </w:r>
      <w:r>
        <w:rPr>
          <w:rtl w:val="0"/>
          <w:lang w:val="de-DE"/>
        </w:rPr>
        <w:t>ö</w:t>
      </w:r>
      <w:r>
        <w:rPr>
          <w:rtl w:val="0"/>
          <w:lang w:val="de-DE"/>
        </w:rPr>
        <w:t xml:space="preserve">rigen </w:t>
      </w:r>
      <w:r>
        <w:rPr>
          <w:outline w:val="0"/>
          <w:color w:val="4f81bd"/>
          <w:u w:color="4f81bd"/>
          <w:rtl w:val="0"/>
          <w:lang w:val="de-DE"/>
          <w14:textFill>
            <w14:solidFill>
              <w14:srgbClr w14:val="4F81BD"/>
            </w14:solidFill>
          </w14:textFill>
        </w:rPr>
        <w:t>[Name, Geburtsdatum]</w:t>
      </w:r>
    </w:p>
    <w:p>
      <w:pPr>
        <w:pStyle w:val="Normal.0"/>
        <w:rPr>
          <w:outline w:val="0"/>
          <w:color w:val="4f81bd"/>
          <w:u w:color="4f81bd"/>
          <w14:textFill>
            <w14:solidFill>
              <w14:srgbClr w14:val="4F81BD"/>
            </w14:solidFill>
          </w14:textFill>
        </w:rPr>
      </w:pPr>
      <w:r>
        <w:rPr>
          <w:outline w:val="0"/>
          <w:color w:val="4f81bd"/>
          <w:u w:color="4f81bd"/>
          <w:rtl w:val="0"/>
          <w:lang w:val="de-DE"/>
          <w14:textFill>
            <w14:solidFill>
              <w14:srgbClr w14:val="4F81BD"/>
            </w14:solidFill>
          </w14:textFill>
        </w:rPr>
        <w:t>[Aktenzeichen des urspr</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nglichen Asylverfahrens]</w:t>
      </w:r>
    </w:p>
    <w:p>
      <w:pPr>
        <w:pStyle w:val="Normal.0"/>
      </w:pPr>
    </w:p>
    <w:p>
      <w:pPr>
        <w:pStyle w:val="Normal.0"/>
      </w:pPr>
      <w:r>
        <w:rPr>
          <w:rtl w:val="0"/>
          <w:lang w:val="de-DE"/>
        </w:rPr>
        <w:t xml:space="preserve">Sehr geehrte Damen und Herren, </w:t>
      </w:r>
    </w:p>
    <w:p>
      <w:pPr>
        <w:pStyle w:val="Normal.0"/>
      </w:pPr>
      <w:r>
        <w:rPr>
          <w:rtl w:val="0"/>
          <w:lang w:val="de-DE"/>
        </w:rPr>
        <w:t xml:space="preserve">ausweislich beiliegender Vollmacht zeige ich Vertretung an (Anlage). </w:t>
      </w:r>
    </w:p>
    <w:p>
      <w:pPr>
        <w:pStyle w:val="Normal.0"/>
      </w:pPr>
      <w:r>
        <w:rPr>
          <w:rtl w:val="0"/>
          <w:lang w:val="de-DE"/>
        </w:rPr>
        <w:t xml:space="preserve">Der Antragsteller stellt unter Vorlage dieses Schriftsatzes </w:t>
      </w:r>
    </w:p>
    <w:p>
      <w:pPr>
        <w:pStyle w:val="Normal.0"/>
      </w:pPr>
    </w:p>
    <w:p>
      <w:pPr>
        <w:pStyle w:val="Normal.0"/>
        <w:jc w:val="center"/>
      </w:pPr>
      <w:r>
        <w:rPr>
          <w:rtl w:val="0"/>
          <w:lang w:val="de-DE"/>
        </w:rPr>
        <w:t>Asylfolgeantrag.</w:t>
      </w:r>
    </w:p>
    <w:p>
      <w:pPr>
        <w:pStyle w:val="Normal.0"/>
      </w:pPr>
    </w:p>
    <w:p>
      <w:pPr>
        <w:pStyle w:val="Normal.0"/>
      </w:pPr>
      <w:r>
        <w:rPr>
          <w:rtl w:val="0"/>
          <w:lang w:val="de-DE"/>
        </w:rPr>
        <w:t>Der Asylfolgeantrag ist zul</w:t>
      </w:r>
      <w:r>
        <w:rPr>
          <w:rtl w:val="0"/>
          <w:lang w:val="de-DE"/>
        </w:rPr>
        <w:t>ä</w:t>
      </w:r>
      <w:r>
        <w:rPr>
          <w:rtl w:val="0"/>
          <w:lang w:val="de-DE"/>
        </w:rPr>
        <w:t>ssig und begr</w:t>
      </w:r>
      <w:r>
        <w:rPr>
          <w:rtl w:val="0"/>
          <w:lang w:val="de-DE"/>
        </w:rPr>
        <w:t>ü</w:t>
      </w:r>
      <w:r>
        <w:rPr>
          <w:rtl w:val="0"/>
          <w:lang w:val="de-DE"/>
        </w:rPr>
        <w:t xml:space="preserve">ndet. </w:t>
      </w:r>
    </w:p>
    <w:p>
      <w:pPr>
        <w:pStyle w:val="Normal.0"/>
      </w:pPr>
    </w:p>
    <w:p>
      <w:pPr>
        <w:pStyle w:val="Normal.0"/>
      </w:pPr>
      <w:r>
        <w:rPr>
          <w:rtl w:val="0"/>
          <w:lang w:val="de-DE"/>
        </w:rPr>
        <w:t xml:space="preserve">Die Voraussetzungen der </w:t>
      </w:r>
      <w:r>
        <w:rPr>
          <w:rtl w:val="0"/>
          <w:lang w:val="de-DE"/>
        </w:rPr>
        <w:t xml:space="preserve">§ </w:t>
      </w:r>
      <w:r>
        <w:rPr>
          <w:rtl w:val="0"/>
          <w:lang w:val="de-DE"/>
        </w:rPr>
        <w:t xml:space="preserve">71 AsylG und </w:t>
      </w:r>
      <w:r>
        <w:rPr>
          <w:rtl w:val="0"/>
          <w:lang w:val="de-DE"/>
        </w:rPr>
        <w:t xml:space="preserve">§ </w:t>
      </w:r>
      <w:r>
        <w:rPr>
          <w:rtl w:val="0"/>
          <w:lang w:val="de-DE"/>
        </w:rPr>
        <w:t xml:space="preserve">51 Abs. 1-3 VwVfG liegen vor. Aus aktueller Rechtsprechung des EuGH ergibt sich eine </w:t>
      </w:r>
      <w:r>
        <w:rPr>
          <w:rtl w:val="0"/>
          <w:lang w:val="de-DE"/>
        </w:rPr>
        <w:t>Ä</w:t>
      </w:r>
      <w:r>
        <w:rPr>
          <w:rtl w:val="0"/>
          <w:lang w:val="de-DE"/>
        </w:rPr>
        <w:t xml:space="preserve">nderung der Rechtslage i.S.d. </w:t>
      </w:r>
      <w:r>
        <w:rPr>
          <w:rtl w:val="0"/>
          <w:lang w:val="de-DE"/>
        </w:rPr>
        <w:t xml:space="preserve">§ </w:t>
      </w:r>
      <w:r>
        <w:rPr>
          <w:rtl w:val="0"/>
          <w:lang w:val="de-DE"/>
        </w:rPr>
        <w:t>51 Abs. 1 Nr. 1 VwVfG , die zu einer positiven Entscheidung in Form der Zuerkennung der Fl</w:t>
      </w:r>
      <w:r>
        <w:rPr>
          <w:rtl w:val="0"/>
          <w:lang w:val="de-DE"/>
        </w:rPr>
        <w:t>ü</w:t>
      </w:r>
      <w:r>
        <w:rPr>
          <w:rtl w:val="0"/>
          <w:lang w:val="de-DE"/>
        </w:rPr>
        <w:t xml:space="preserve">chtlingseigenschaft nach </w:t>
      </w:r>
      <w:r>
        <w:rPr>
          <w:rtl w:val="0"/>
          <w:lang w:val="de-DE"/>
        </w:rPr>
        <w:t xml:space="preserve">§ </w:t>
      </w:r>
      <w:r>
        <w:rPr>
          <w:rtl w:val="0"/>
          <w:lang w:val="de-DE"/>
        </w:rPr>
        <w:t>3 AsylG f</w:t>
      </w:r>
      <w:r>
        <w:rPr>
          <w:rtl w:val="0"/>
          <w:lang w:val="de-DE"/>
        </w:rPr>
        <w:t>ü</w:t>
      </w:r>
      <w:r>
        <w:rPr>
          <w:rtl w:val="0"/>
          <w:lang w:val="de-DE"/>
        </w:rPr>
        <w:t xml:space="preserve">hren muss. </w:t>
      </w:r>
    </w:p>
    <w:p>
      <w:pPr>
        <w:pStyle w:val="Normal.0"/>
      </w:pPr>
    </w:p>
    <w:p>
      <w:pPr>
        <w:pStyle w:val="Normal.0"/>
        <w:rPr>
          <w:u w:val="single"/>
        </w:rPr>
      </w:pPr>
      <w:r>
        <w:rPr>
          <w:u w:val="single"/>
          <w:rtl w:val="0"/>
          <w:lang w:val="de-DE"/>
        </w:rPr>
        <w:t>I. Zul</w:t>
      </w:r>
      <w:r>
        <w:rPr>
          <w:u w:val="single"/>
          <w:rtl w:val="0"/>
          <w:lang w:val="de-DE"/>
        </w:rPr>
        <w:t>ä</w:t>
      </w:r>
      <w:r>
        <w:rPr>
          <w:u w:val="single"/>
          <w:rtl w:val="0"/>
          <w:lang w:val="de-DE"/>
        </w:rPr>
        <w:t>ssigkeit</w:t>
      </w:r>
    </w:p>
    <w:p>
      <w:pPr>
        <w:pStyle w:val="Normal.0"/>
      </w:pPr>
      <w:r>
        <w:rPr>
          <w:rtl w:val="0"/>
          <w:lang w:val="de-DE"/>
        </w:rPr>
        <w:t xml:space="preserve">Die Voraussetzungen des </w:t>
      </w:r>
      <w:r>
        <w:rPr>
          <w:rtl w:val="0"/>
          <w:lang w:val="de-DE"/>
        </w:rPr>
        <w:t xml:space="preserve">§ </w:t>
      </w:r>
      <w:r>
        <w:rPr>
          <w:rtl w:val="0"/>
          <w:lang w:val="de-DE"/>
        </w:rPr>
        <w:t xml:space="preserve">71 AsylG i.V.m. </w:t>
      </w:r>
      <w:r>
        <w:rPr>
          <w:rtl w:val="0"/>
          <w:lang w:val="de-DE"/>
        </w:rPr>
        <w:t xml:space="preserve">§ </w:t>
      </w:r>
      <w:r>
        <w:rPr>
          <w:rtl w:val="0"/>
          <w:lang w:val="de-DE"/>
        </w:rPr>
        <w:t>51 Abs. 1-3 VwVfG sind erf</w:t>
      </w:r>
      <w:r>
        <w:rPr>
          <w:rtl w:val="0"/>
          <w:lang w:val="de-DE"/>
        </w:rPr>
        <w:t>ü</w:t>
      </w:r>
      <w:r>
        <w:rPr>
          <w:rtl w:val="0"/>
          <w:lang w:val="de-DE"/>
        </w:rPr>
        <w:t xml:space="preserve">llt. </w:t>
      </w:r>
    </w:p>
    <w:p>
      <w:pPr>
        <w:pStyle w:val="Normal.0"/>
      </w:pPr>
      <w:r>
        <w:rPr>
          <w:rtl w:val="0"/>
          <w:lang w:val="de-DE"/>
        </w:rPr>
        <w:t xml:space="preserve">Der EuGH hat mit Urteil vom 19.11.2020 in der Rechtssache EZ gegen Bundesrepublik Deutschland (C-238/19) </w:t>
      </w:r>
      <w:r>
        <w:rPr>
          <w:rtl w:val="0"/>
          <w:lang w:val="de-DE"/>
        </w:rPr>
        <w:t>ü</w:t>
      </w:r>
      <w:r>
        <w:rPr>
          <w:rtl w:val="0"/>
          <w:lang w:val="de-DE"/>
        </w:rPr>
        <w:t>ber Fragen zur Zuerkennung der Fl</w:t>
      </w:r>
      <w:r>
        <w:rPr>
          <w:rtl w:val="0"/>
          <w:lang w:val="de-DE"/>
        </w:rPr>
        <w:t>ü</w:t>
      </w:r>
      <w:r>
        <w:rPr>
          <w:rtl w:val="0"/>
          <w:lang w:val="de-DE"/>
        </w:rPr>
        <w:t xml:space="preserve">chtlingseigenschaft an einen syrischen Kriegsdienstverweigerer entschieden. Mit dieser Entscheidung liegt eine </w:t>
      </w:r>
      <w:r>
        <w:rPr>
          <w:rtl w:val="0"/>
          <w:lang w:val="de-DE"/>
        </w:rPr>
        <w:t>Ä</w:t>
      </w:r>
      <w:r>
        <w:rPr>
          <w:rtl w:val="0"/>
          <w:lang w:val="de-DE"/>
        </w:rPr>
        <w:t xml:space="preserve">nderung der Rechtslage i.S.d. </w:t>
      </w:r>
      <w:r>
        <w:rPr>
          <w:rtl w:val="0"/>
          <w:lang w:val="de-DE"/>
        </w:rPr>
        <w:t xml:space="preserve">§ </w:t>
      </w:r>
      <w:r>
        <w:rPr>
          <w:rtl w:val="0"/>
          <w:lang w:val="de-DE"/>
        </w:rPr>
        <w:t xml:space="preserve">51 Abs. 1 Nr. 1 VwVfG vor. </w:t>
      </w:r>
    </w:p>
    <w:p>
      <w:pPr>
        <w:pStyle w:val="Normal.0"/>
      </w:pPr>
      <w:r>
        <w:rPr>
          <w:rtl w:val="0"/>
          <w:lang w:val="de-DE"/>
        </w:rPr>
        <w:t xml:space="preserve">Nach zutreffender Auffassung ist von einer </w:t>
      </w:r>
      <w:r>
        <w:rPr>
          <w:rtl w:val="0"/>
          <w:lang w:val="de-DE"/>
        </w:rPr>
        <w:t>Ä</w:t>
      </w:r>
      <w:r>
        <w:rPr>
          <w:rtl w:val="0"/>
          <w:lang w:val="de-DE"/>
        </w:rPr>
        <w:t>nderung der Rechtslage auszugehen, wenn eine Bestimmung des Gemeinschaftsrechts nach Bestandskraft des Erstbescheides durch den EuGH anders ausgelegt wird und sich eine Entscheidung des Bundesamtes dadurch als gemeinschaftsrechtswidrig erweist  (M</w:t>
      </w:r>
      <w:r>
        <w:rPr>
          <w:rtl w:val="0"/>
          <w:lang w:val="de-DE"/>
        </w:rPr>
        <w:t>ü</w:t>
      </w:r>
      <w:r>
        <w:rPr>
          <w:rtl w:val="0"/>
          <w:lang w:val="de-DE"/>
        </w:rPr>
        <w:t xml:space="preserve">ller in: NK-AuslR, </w:t>
      </w:r>
      <w:r>
        <w:rPr>
          <w:rtl w:val="0"/>
          <w:lang w:val="de-DE"/>
        </w:rPr>
        <w:t xml:space="preserve">§ </w:t>
      </w:r>
      <w:r>
        <w:rPr>
          <w:rtl w:val="0"/>
          <w:lang w:val="de-DE"/>
        </w:rPr>
        <w:t xml:space="preserve">71 AsylG, Rn. 30). </w:t>
      </w:r>
    </w:p>
    <w:p>
      <w:pPr>
        <w:pStyle w:val="Normal.0"/>
      </w:pPr>
      <w:r>
        <w:rPr>
          <w:rtl w:val="0"/>
          <w:lang w:val="de-DE"/>
        </w:rPr>
        <w:t>Diese Ansicht wird durch das Urteil des EuGH vom 14.05.2020 zu der Transitzone R</w:t>
      </w:r>
      <w:r>
        <w:rPr>
          <w:rtl w:val="0"/>
          <w:lang w:val="de-DE"/>
        </w:rPr>
        <w:t>ö</w:t>
      </w:r>
      <w:r>
        <w:rPr>
          <w:rtl w:val="0"/>
          <w:lang w:val="de-DE"/>
        </w:rPr>
        <w:t>szke in Ungarn (C-924/19 PPU und C-925/19 PPU) best</w:t>
      </w:r>
      <w:r>
        <w:rPr>
          <w:rtl w:val="0"/>
          <w:lang w:val="de-DE"/>
        </w:rPr>
        <w:t>ä</w:t>
      </w:r>
      <w:r>
        <w:rPr>
          <w:rtl w:val="0"/>
          <w:lang w:val="de-DE"/>
        </w:rPr>
        <w:t>tigt. In dieser Entscheidung hat der EuGH festgestellt, dass der von Ungarn aufgestellte Unzul</w:t>
      </w:r>
      <w:r>
        <w:rPr>
          <w:rtl w:val="0"/>
          <w:lang w:val="de-DE"/>
        </w:rPr>
        <w:t>ä</w:t>
      </w:r>
      <w:r>
        <w:rPr>
          <w:rtl w:val="0"/>
          <w:lang w:val="de-DE"/>
        </w:rPr>
        <w:t xml:space="preserve">ssigkeitsgrund der Einreise </w:t>
      </w:r>
      <w:r>
        <w:rPr>
          <w:rtl w:val="0"/>
          <w:lang w:val="de-DE"/>
        </w:rPr>
        <w:t>ü</w:t>
      </w:r>
      <w:r>
        <w:rPr>
          <w:rtl w:val="0"/>
          <w:lang w:val="de-DE"/>
        </w:rPr>
        <w:t xml:space="preserve">ber einen </w:t>
      </w:r>
      <w:r>
        <w:rPr>
          <w:rtl w:val="0"/>
          <w:lang w:val="de-DE"/>
        </w:rPr>
        <w:t>„</w:t>
      </w:r>
      <w:r>
        <w:rPr>
          <w:rtl w:val="0"/>
          <w:lang w:val="de-DE"/>
        </w:rPr>
        <w:t>sicheren Transitstaat</w:t>
      </w:r>
      <w:r>
        <w:rPr>
          <w:rtl w:val="0"/>
          <w:lang w:val="de-DE"/>
        </w:rPr>
        <w:t xml:space="preserve">“ </w:t>
      </w:r>
      <w:r>
        <w:rPr>
          <w:rtl w:val="0"/>
          <w:lang w:val="de-DE"/>
        </w:rPr>
        <w:t>gemeinschaftsrechtswidrig ist. Der EuGH h</w:t>
      </w:r>
      <w:r>
        <w:rPr>
          <w:rtl w:val="0"/>
          <w:lang w:val="de-DE"/>
        </w:rPr>
        <w:t>ä</w:t>
      </w:r>
      <w:r>
        <w:rPr>
          <w:rtl w:val="0"/>
          <w:lang w:val="de-DE"/>
        </w:rPr>
        <w:t>lt zwar fest, dass die Gemeinschaftsrechtswidrigkeit nicht dazu f</w:t>
      </w:r>
      <w:r>
        <w:rPr>
          <w:rtl w:val="0"/>
          <w:lang w:val="de-DE"/>
        </w:rPr>
        <w:t>ü</w:t>
      </w:r>
      <w:r>
        <w:rPr>
          <w:rtl w:val="0"/>
          <w:lang w:val="de-DE"/>
        </w:rPr>
        <w:t>hrt, dass die Asylbeh</w:t>
      </w:r>
      <w:r>
        <w:rPr>
          <w:rtl w:val="0"/>
          <w:lang w:val="de-DE"/>
        </w:rPr>
        <w:t>ö</w:t>
      </w:r>
      <w:r>
        <w:rPr>
          <w:rtl w:val="0"/>
          <w:lang w:val="de-DE"/>
        </w:rPr>
        <w:t>rde darauf basierende Unzul</w:t>
      </w:r>
      <w:r>
        <w:rPr>
          <w:rtl w:val="0"/>
          <w:lang w:val="de-DE"/>
        </w:rPr>
        <w:t>ä</w:t>
      </w:r>
      <w:r>
        <w:rPr>
          <w:rtl w:val="0"/>
          <w:lang w:val="de-DE"/>
        </w:rPr>
        <w:t>ssigkeitsentscheidungen von Amts wegen zu pr</w:t>
      </w:r>
      <w:r>
        <w:rPr>
          <w:rtl w:val="0"/>
          <w:lang w:val="de-DE"/>
        </w:rPr>
        <w:t>ü</w:t>
      </w:r>
      <w:r>
        <w:rPr>
          <w:rtl w:val="0"/>
          <w:lang w:val="de-DE"/>
        </w:rPr>
        <w:t>fen h</w:t>
      </w:r>
      <w:r>
        <w:rPr>
          <w:rtl w:val="0"/>
          <w:lang w:val="de-DE"/>
        </w:rPr>
        <w:t>ä</w:t>
      </w:r>
      <w:r>
        <w:rPr>
          <w:rtl w:val="0"/>
          <w:lang w:val="de-DE"/>
        </w:rPr>
        <w:t>tte. Im Anschluss hieran betont der EuGH indessen, dass die Feststellung der Gemeinschaftsrechtswidrigkeit geeignet ist, darauf gest</w:t>
      </w:r>
      <w:r>
        <w:rPr>
          <w:rtl w:val="0"/>
          <w:lang w:val="de-DE"/>
        </w:rPr>
        <w:t>ü</w:t>
      </w:r>
      <w:r>
        <w:rPr>
          <w:rtl w:val="0"/>
          <w:lang w:val="de-DE"/>
        </w:rPr>
        <w:t>tzte Asylfolgeantr</w:t>
      </w:r>
      <w:r>
        <w:rPr>
          <w:rtl w:val="0"/>
          <w:lang w:val="de-DE"/>
        </w:rPr>
        <w:t>ä</w:t>
      </w:r>
      <w:r>
        <w:rPr>
          <w:rtl w:val="0"/>
          <w:lang w:val="de-DE"/>
        </w:rPr>
        <w:t>ge zu legitimieren. In Rn. 192 der Entscheidung f</w:t>
      </w:r>
      <w:r>
        <w:rPr>
          <w:rtl w:val="0"/>
          <w:lang w:val="de-DE"/>
        </w:rPr>
        <w:t>ü</w:t>
      </w:r>
      <w:r>
        <w:rPr>
          <w:rtl w:val="0"/>
          <w:lang w:val="de-DE"/>
        </w:rPr>
        <w:t>hrt der EuGH aus, dass das Vorliegen einer rechtskr</w:t>
      </w:r>
      <w:r>
        <w:rPr>
          <w:rtl w:val="0"/>
          <w:lang w:val="de-DE"/>
        </w:rPr>
        <w:t>ä</w:t>
      </w:r>
      <w:r>
        <w:rPr>
          <w:rtl w:val="0"/>
          <w:lang w:val="de-DE"/>
        </w:rPr>
        <w:t>ftigen Entscheidung, mit der die Ablehnung eines Antrags auf internationalen Schutz aus einem unionsrechtswidrigen Grund best</w:t>
      </w:r>
      <w:r>
        <w:rPr>
          <w:rtl w:val="0"/>
          <w:lang w:val="de-DE"/>
        </w:rPr>
        <w:t>ä</w:t>
      </w:r>
      <w:r>
        <w:rPr>
          <w:rtl w:val="0"/>
          <w:lang w:val="de-DE"/>
        </w:rPr>
        <w:t xml:space="preserve">tigt wurde, den Betroffenen nicht daran hindert, einen Folgeantrag im Sinne von Art. 2 Buchst. q der Richtlinie 2013/32 zu stellen. </w:t>
      </w:r>
    </w:p>
    <w:p>
      <w:pPr>
        <w:pStyle w:val="Normal.0"/>
      </w:pPr>
      <w:r>
        <w:rPr>
          <w:rtl w:val="0"/>
          <w:lang w:val="de-DE"/>
        </w:rPr>
        <w:t xml:space="preserve">In Rn. 194 betont der EuGH: </w:t>
      </w:r>
    </w:p>
    <w:p>
      <w:pPr>
        <w:pStyle w:val="Normal.0"/>
        <w:rPr>
          <w:i w:val="1"/>
          <w:iCs w:val="1"/>
        </w:rPr>
      </w:pPr>
      <w:r>
        <w:rPr>
          <w:i w:val="1"/>
          <w:iCs w:val="1"/>
          <w:rtl w:val="0"/>
          <w:lang w:val="de-DE"/>
        </w:rPr>
        <w:t>„</w:t>
      </w:r>
      <w:r>
        <w:rPr>
          <w:i w:val="1"/>
          <w:iCs w:val="1"/>
          <w:rtl w:val="0"/>
          <w:lang w:val="de-DE"/>
        </w:rPr>
        <w:t>Die Existenz eines Urteils des Gerichtshofes, mit dem die Unvereinbarkeit einer nationalen Regelung mit dem Unionsrecht festgestellt wird [</w:t>
      </w:r>
      <w:r>
        <w:rPr>
          <w:i w:val="1"/>
          <w:iCs w:val="1"/>
          <w:rtl w:val="0"/>
          <w:lang w:val="de-DE"/>
        </w:rPr>
        <w:t>…</w:t>
      </w:r>
      <w:r>
        <w:rPr>
          <w:i w:val="1"/>
          <w:iCs w:val="1"/>
          <w:rtl w:val="0"/>
          <w:lang w:val="de-DE"/>
        </w:rPr>
        <w:t>] stellt [</w:t>
      </w:r>
      <w:r>
        <w:rPr>
          <w:i w:val="1"/>
          <w:iCs w:val="1"/>
          <w:rtl w:val="0"/>
          <w:lang w:val="de-DE"/>
        </w:rPr>
        <w:t>…</w:t>
      </w:r>
      <w:r>
        <w:rPr>
          <w:i w:val="1"/>
          <w:iCs w:val="1"/>
          <w:rtl w:val="0"/>
          <w:lang w:val="de-DE"/>
        </w:rPr>
        <w:t>] im Sinne von Art. 33 Abs. 2 Buchst. d der Richtlinie 2013/32 eine neue Erkenntnis im Hinblick auf die Pr</w:t>
      </w:r>
      <w:r>
        <w:rPr>
          <w:i w:val="1"/>
          <w:iCs w:val="1"/>
          <w:rtl w:val="0"/>
          <w:lang w:val="de-DE"/>
        </w:rPr>
        <w:t>ü</w:t>
      </w:r>
      <w:r>
        <w:rPr>
          <w:i w:val="1"/>
          <w:iCs w:val="1"/>
          <w:rtl w:val="0"/>
          <w:lang w:val="de-DE"/>
        </w:rPr>
        <w:t>fung eines Antrags auf internationalen Schutz dar, so dass der Folgeantrag nicht auf der Grundlage dieser Bestimmung abgelehnt werden kann</w:t>
      </w:r>
      <w:r>
        <w:rPr>
          <w:i w:val="1"/>
          <w:iCs w:val="1"/>
          <w:rtl w:val="0"/>
          <w:lang w:val="de-DE"/>
        </w:rPr>
        <w:t>“</w:t>
      </w:r>
      <w:r>
        <w:rPr>
          <w:i w:val="1"/>
          <w:iCs w:val="1"/>
          <w:rtl w:val="0"/>
          <w:lang w:val="de-DE"/>
        </w:rPr>
        <w:t xml:space="preserve">. </w:t>
      </w:r>
    </w:p>
    <w:p>
      <w:pPr>
        <w:pStyle w:val="Normal.0"/>
      </w:pPr>
      <w:r>
        <w:rPr>
          <w:rtl w:val="0"/>
          <w:lang w:val="de-DE"/>
        </w:rPr>
        <w:t>In Rn. 198 hei</w:t>
      </w:r>
      <w:r>
        <w:rPr>
          <w:rtl w:val="0"/>
          <w:lang w:val="de-DE"/>
        </w:rPr>
        <w:t>ß</w:t>
      </w:r>
      <w:r>
        <w:rPr>
          <w:rtl w:val="0"/>
          <w:lang w:val="de-DE"/>
        </w:rPr>
        <w:t>t es schlie</w:t>
      </w:r>
      <w:r>
        <w:rPr>
          <w:rtl w:val="0"/>
          <w:lang w:val="de-DE"/>
        </w:rPr>
        <w:t>ß</w:t>
      </w:r>
      <w:r>
        <w:rPr>
          <w:rtl w:val="0"/>
          <w:lang w:val="de-DE"/>
        </w:rPr>
        <w:t xml:space="preserve">lich: </w:t>
      </w:r>
    </w:p>
    <w:p>
      <w:pPr>
        <w:pStyle w:val="Normal.0"/>
        <w:rPr>
          <w:i w:val="1"/>
          <w:iCs w:val="1"/>
        </w:rPr>
      </w:pPr>
      <w:r>
        <w:rPr>
          <w:i w:val="1"/>
          <w:iCs w:val="1"/>
          <w:rtl w:val="0"/>
          <w:lang w:val="de-DE"/>
        </w:rPr>
        <w:t>„</w:t>
      </w:r>
      <w:r>
        <w:rPr>
          <w:i w:val="1"/>
          <w:iCs w:val="1"/>
          <w:rtl w:val="0"/>
          <w:lang w:val="de-DE"/>
        </w:rPr>
        <w:t>Folglich ist Art. 33 Abs. 2 Buchst. d der Richtlinie 2013/32 dahin auszulegen, dass er auf einen Folgeantrag im Sinne von Art. 2 Buchst. q dieser Richtlinie nicht anwendbar ist, wenn die Asylbeh</w:t>
      </w:r>
      <w:r>
        <w:rPr>
          <w:i w:val="1"/>
          <w:iCs w:val="1"/>
          <w:rtl w:val="0"/>
          <w:lang w:val="de-DE"/>
        </w:rPr>
        <w:t>ö</w:t>
      </w:r>
      <w:r>
        <w:rPr>
          <w:i w:val="1"/>
          <w:iCs w:val="1"/>
          <w:rtl w:val="0"/>
          <w:lang w:val="de-DE"/>
        </w:rPr>
        <w:t>rde im Sinne von Art. 2 Buchst. f dieser Richtlinie feststellt, dass die bestandskr</w:t>
      </w:r>
      <w:r>
        <w:rPr>
          <w:i w:val="1"/>
          <w:iCs w:val="1"/>
          <w:rtl w:val="0"/>
          <w:lang w:val="de-DE"/>
        </w:rPr>
        <w:t>ä</w:t>
      </w:r>
      <w:r>
        <w:rPr>
          <w:i w:val="1"/>
          <w:iCs w:val="1"/>
          <w:rtl w:val="0"/>
          <w:lang w:val="de-DE"/>
        </w:rPr>
        <w:t>ftige Ablehnung des fr</w:t>
      </w:r>
      <w:r>
        <w:rPr>
          <w:i w:val="1"/>
          <w:iCs w:val="1"/>
          <w:rtl w:val="0"/>
          <w:lang w:val="de-DE"/>
        </w:rPr>
        <w:t>ü</w:t>
      </w:r>
      <w:r>
        <w:rPr>
          <w:i w:val="1"/>
          <w:iCs w:val="1"/>
          <w:rtl w:val="0"/>
          <w:lang w:val="de-DE"/>
        </w:rPr>
        <w:t>heren Antrags unionsrechtswidrig ist. Dies gilt zwingend, wenn sich die Unionsrechtswidrigkeit der Ablehnung des ersten Asylantrags wie hier aus einem Urteil des Gerichtshofs ergibt[</w:t>
      </w:r>
      <w:r>
        <w:rPr>
          <w:i w:val="1"/>
          <w:iCs w:val="1"/>
          <w:rtl w:val="0"/>
          <w:lang w:val="de-DE"/>
        </w:rPr>
        <w:t>…</w:t>
      </w:r>
      <w:r>
        <w:rPr>
          <w:i w:val="1"/>
          <w:iCs w:val="1"/>
          <w:rtl w:val="0"/>
          <w:lang w:val="de-DE"/>
        </w:rPr>
        <w:t>]</w:t>
      </w:r>
      <w:r>
        <w:rPr>
          <w:i w:val="1"/>
          <w:iCs w:val="1"/>
          <w:rtl w:val="0"/>
          <w:lang w:val="de-DE"/>
        </w:rPr>
        <w:t>“</w:t>
      </w:r>
      <w:r>
        <w:rPr>
          <w:i w:val="1"/>
          <w:iCs w:val="1"/>
          <w:rtl w:val="0"/>
          <w:lang w:val="de-DE"/>
        </w:rPr>
        <w:t>.</w:t>
      </w:r>
    </w:p>
    <w:p>
      <w:pPr>
        <w:pStyle w:val="Normal.0"/>
      </w:pPr>
      <w:r>
        <w:rPr>
          <w:rtl w:val="0"/>
          <w:lang w:val="de-DE"/>
        </w:rPr>
        <w:t>Der EuGH gibt damit vor, dass in F</w:t>
      </w:r>
      <w:r>
        <w:rPr>
          <w:rtl w:val="0"/>
          <w:lang w:val="de-DE"/>
        </w:rPr>
        <w:t>ä</w:t>
      </w:r>
      <w:r>
        <w:rPr>
          <w:rtl w:val="0"/>
          <w:lang w:val="de-DE"/>
        </w:rPr>
        <w:t>llen, in welchen ein Folgeantrag auf eine Entscheidung des Gerichtshofs gest</w:t>
      </w:r>
      <w:r>
        <w:rPr>
          <w:rtl w:val="0"/>
          <w:lang w:val="de-DE"/>
        </w:rPr>
        <w:t>ü</w:t>
      </w:r>
      <w:r>
        <w:rPr>
          <w:rtl w:val="0"/>
          <w:lang w:val="de-DE"/>
        </w:rPr>
        <w:t>tzt wird, aus welcher sich die Gemeinschaftsrechtswidrigkeit der Ablehnung des ersten Asylantrags ergibt, dieser Folgeantrag nicht nach Art. 33 Abs. 2 Buchst. d der Asylverfahrensrichtlinie als unzul</w:t>
      </w:r>
      <w:r>
        <w:rPr>
          <w:rtl w:val="0"/>
          <w:lang w:val="de-DE"/>
        </w:rPr>
        <w:t>ä</w:t>
      </w:r>
      <w:r>
        <w:rPr>
          <w:rtl w:val="0"/>
          <w:lang w:val="de-DE"/>
        </w:rPr>
        <w:t>ssig abgelehnt werden darf, sondern vielmehr jene Entscheidung, auf die der Folgeantrag gest</w:t>
      </w:r>
      <w:r>
        <w:rPr>
          <w:rtl w:val="0"/>
          <w:lang w:val="de-DE"/>
        </w:rPr>
        <w:t>ü</w:t>
      </w:r>
      <w:r>
        <w:rPr>
          <w:rtl w:val="0"/>
          <w:lang w:val="de-DE"/>
        </w:rPr>
        <w:t>tzt wird, als neues Element oder als neue Erkenntnis i.S.d. Art. 40 Abs. 2 dieser Richtlinie anzuerkennen ist. Damit besteht aber nach Art. 40 Abs. 3 der Asylverfahrensrichtlinie die Pflicht, den Asylfolgeantrag inhaltlich zu pr</w:t>
      </w:r>
      <w:r>
        <w:rPr>
          <w:rtl w:val="0"/>
          <w:lang w:val="de-DE"/>
        </w:rPr>
        <w:t>ü</w:t>
      </w:r>
      <w:r>
        <w:rPr>
          <w:rtl w:val="0"/>
          <w:lang w:val="de-DE"/>
        </w:rPr>
        <w:t>fen (ebenso: Hruschka, Constantin: Am Schutz orientiert: Der EuGH zum Schutz bei Verweigerung des Milit</w:t>
      </w:r>
      <w:r>
        <w:rPr>
          <w:rtl w:val="0"/>
          <w:lang w:val="de-DE"/>
        </w:rPr>
        <w:t>ä</w:t>
      </w:r>
      <w:r>
        <w:rPr>
          <w:rtl w:val="0"/>
          <w:lang w:val="de-DE"/>
        </w:rPr>
        <w:t>rdienstes in Syrien, verfassungsblog.de vom 20.11.2020; derselbe zitiert in: EuGH zum Schutzstatus von Syren: Vorm Wehrdienst kann man fl</w:t>
      </w:r>
      <w:r>
        <w:rPr>
          <w:rtl w:val="0"/>
          <w:lang w:val="de-DE"/>
        </w:rPr>
        <w:t>ü</w:t>
      </w:r>
      <w:r>
        <w:rPr>
          <w:rtl w:val="0"/>
          <w:lang w:val="de-DE"/>
        </w:rPr>
        <w:t xml:space="preserve">chten, LegalTribuneOnline vom 19.11.2020). </w:t>
      </w:r>
    </w:p>
    <w:p>
      <w:pPr>
        <w:pStyle w:val="Normal.0"/>
      </w:pPr>
      <w:r>
        <w:rPr>
          <w:rtl w:val="0"/>
          <w:lang w:val="de-DE"/>
        </w:rPr>
        <w:t>Nach nationalem Recht l</w:t>
      </w:r>
      <w:r>
        <w:rPr>
          <w:rtl w:val="0"/>
          <w:lang w:val="de-DE"/>
        </w:rPr>
        <w:t>ä</w:t>
      </w:r>
      <w:r>
        <w:rPr>
          <w:rtl w:val="0"/>
          <w:lang w:val="de-DE"/>
        </w:rPr>
        <w:t xml:space="preserve">sst sich dies nur durch gemeinschaftsrechtskonforme Auslegung des </w:t>
      </w:r>
      <w:r>
        <w:rPr>
          <w:rtl w:val="0"/>
          <w:lang w:val="de-DE"/>
        </w:rPr>
        <w:t xml:space="preserve">§ </w:t>
      </w:r>
      <w:r>
        <w:rPr>
          <w:rtl w:val="0"/>
          <w:lang w:val="de-DE"/>
        </w:rPr>
        <w:t xml:space="preserve">51 Abs. 1 Nr. 1 VwVfG umsetzen, indem die Rechtsprechung des EuGH als </w:t>
      </w:r>
      <w:r>
        <w:rPr>
          <w:rtl w:val="0"/>
          <w:lang w:val="de-DE"/>
        </w:rPr>
        <w:t>Ä</w:t>
      </w:r>
      <w:r>
        <w:rPr>
          <w:rtl w:val="0"/>
          <w:lang w:val="de-DE"/>
        </w:rPr>
        <w:t xml:space="preserve">nderung der Rechtslage i.S.d. Norm anerkannt wird. </w:t>
      </w:r>
    </w:p>
    <w:p>
      <w:pPr>
        <w:pStyle w:val="Normal.0"/>
      </w:pPr>
      <w:r>
        <w:rPr>
          <w:rtl w:val="0"/>
          <w:lang w:val="de-DE"/>
        </w:rPr>
        <w:t>Der Gegenauffassung, wonach (</w:t>
      </w:r>
      <w:r>
        <w:rPr>
          <w:rtl w:val="0"/>
          <w:lang w:val="de-DE"/>
        </w:rPr>
        <w:t>Ä</w:t>
      </w:r>
      <w:r>
        <w:rPr>
          <w:rtl w:val="0"/>
          <w:lang w:val="de-DE"/>
        </w:rPr>
        <w:t xml:space="preserve">nderung der) Rechtsprechung </w:t>
      </w:r>
      <w:r>
        <w:rPr>
          <w:rtl w:val="0"/>
          <w:lang w:val="de-DE"/>
        </w:rPr>
        <w:t xml:space="preserve">– </w:t>
      </w:r>
      <w:r>
        <w:rPr>
          <w:rtl w:val="0"/>
          <w:lang w:val="de-DE"/>
        </w:rPr>
        <w:t xml:space="preserve">auch des EuGH </w:t>
      </w:r>
      <w:r>
        <w:rPr>
          <w:rtl w:val="0"/>
          <w:lang w:val="de-DE"/>
        </w:rPr>
        <w:t xml:space="preserve">– </w:t>
      </w:r>
      <w:r>
        <w:rPr>
          <w:rtl w:val="0"/>
          <w:lang w:val="de-DE"/>
        </w:rPr>
        <w:t xml:space="preserve">mit Ausnahme von Entscheidungen des Bundesverfassungsgerichts mit Bindungswirkung nach </w:t>
      </w:r>
      <w:r>
        <w:rPr>
          <w:rtl w:val="0"/>
          <w:lang w:val="de-DE"/>
        </w:rPr>
        <w:t xml:space="preserve">§ </w:t>
      </w:r>
      <w:r>
        <w:rPr>
          <w:rtl w:val="0"/>
          <w:lang w:val="de-DE"/>
        </w:rPr>
        <w:t xml:space="preserve">31 BVerfGG keine </w:t>
      </w:r>
      <w:r>
        <w:rPr>
          <w:rtl w:val="0"/>
          <w:lang w:val="de-DE"/>
        </w:rPr>
        <w:t>Ä</w:t>
      </w:r>
      <w:r>
        <w:rPr>
          <w:rtl w:val="0"/>
          <w:lang w:val="de-DE"/>
        </w:rPr>
        <w:t xml:space="preserve">nderung der Rechtslage darstelle (Bergmann in: Bergmann/Dienelt, AuslR, </w:t>
      </w:r>
      <w:r>
        <w:rPr>
          <w:rtl w:val="0"/>
          <w:lang w:val="de-DE"/>
        </w:rPr>
        <w:t xml:space="preserve">§ </w:t>
      </w:r>
      <w:r>
        <w:rPr>
          <w:rtl w:val="0"/>
          <w:lang w:val="de-DE"/>
        </w:rPr>
        <w:t xml:space="preserve">71 AsylG, Rn. 25) kann nach dem Vorstehenden nicht mehr gefolgt werden. </w:t>
      </w:r>
    </w:p>
    <w:p>
      <w:pPr>
        <w:pStyle w:val="Normal.0"/>
      </w:pPr>
      <w:r>
        <w:rPr>
          <w:rtl w:val="0"/>
          <w:lang w:val="de-DE"/>
        </w:rPr>
        <w:t xml:space="preserve">Die </w:t>
      </w:r>
      <w:r>
        <w:rPr>
          <w:rtl w:val="0"/>
          <w:lang w:val="de-DE"/>
        </w:rPr>
        <w:t>Ä</w:t>
      </w:r>
      <w:r>
        <w:rPr>
          <w:rtl w:val="0"/>
          <w:lang w:val="de-DE"/>
        </w:rPr>
        <w:t>nderung der Rechtslage durch die Entscheidung des EuGH vom 19.11.2020 in der Rechtssache EZ gegen Bundesrepublik Deutschland (C-238/19) liegt darin, dass mit diesem Urteil eine von der Rechtsprechung des Bundesverwaltungsgerichts abweichende Auslegung von Art. 4 Abs. 1 der Anerkennungsrichtlinie (= RL 2011/95 EU) erfolgt. Damit gelten f</w:t>
      </w:r>
      <w:r>
        <w:rPr>
          <w:rtl w:val="0"/>
          <w:lang w:val="de-DE"/>
        </w:rPr>
        <w:t>ü</w:t>
      </w:r>
      <w:r>
        <w:rPr>
          <w:rtl w:val="0"/>
          <w:lang w:val="de-DE"/>
        </w:rPr>
        <w:t xml:space="preserve">r Asylantragsteller, die sich auf Kriegsdienstverweigerung i.S.d. Art. 9 Abs. 2 Buchst. e) der Anerkennungsrichtlinie (entspricht </w:t>
      </w:r>
      <w:r>
        <w:rPr>
          <w:rtl w:val="0"/>
          <w:lang w:val="de-DE"/>
        </w:rPr>
        <w:t xml:space="preserve">§ </w:t>
      </w:r>
      <w:r>
        <w:rPr>
          <w:rtl w:val="0"/>
          <w:lang w:val="de-DE"/>
        </w:rPr>
        <w:t>3 a) Abs. 2 Nr. 5 AsylG) berufen, g</w:t>
      </w:r>
      <w:r>
        <w:rPr>
          <w:rtl w:val="0"/>
          <w:lang w:val="de-DE"/>
        </w:rPr>
        <w:t>ü</w:t>
      </w:r>
      <w:r>
        <w:rPr>
          <w:rtl w:val="0"/>
          <w:lang w:val="de-DE"/>
        </w:rPr>
        <w:t>nstigere Beweislastregeln als die seitens des Bundesverwaltungsgerichts aufgestellten.</w:t>
      </w:r>
    </w:p>
    <w:p>
      <w:pPr>
        <w:pStyle w:val="Normal.0"/>
      </w:pPr>
      <w:r>
        <w:rPr>
          <w:rtl w:val="0"/>
          <w:lang w:val="de-DE"/>
        </w:rPr>
        <w:t>Das Bundesverwaltungsgericht b</w:t>
      </w:r>
      <w:r>
        <w:rPr>
          <w:rtl w:val="0"/>
          <w:lang w:val="de-DE"/>
        </w:rPr>
        <w:t>ü</w:t>
      </w:r>
      <w:r>
        <w:rPr>
          <w:rtl w:val="0"/>
          <w:lang w:val="de-DE"/>
        </w:rPr>
        <w:t>rdet bislang Kriegsdienstverweigerern die Beweislast nicht nur f</w:t>
      </w:r>
      <w:r>
        <w:rPr>
          <w:rtl w:val="0"/>
          <w:lang w:val="de-DE"/>
        </w:rPr>
        <w:t>ü</w:t>
      </w:r>
      <w:r>
        <w:rPr>
          <w:rtl w:val="0"/>
          <w:lang w:val="de-DE"/>
        </w:rPr>
        <w:t>r das Vorliegen der Voraussetzungen dieser Norm, sondern auch f</w:t>
      </w:r>
      <w:r>
        <w:rPr>
          <w:rtl w:val="0"/>
          <w:lang w:val="de-DE"/>
        </w:rPr>
        <w:t>ü</w:t>
      </w:r>
      <w:r>
        <w:rPr>
          <w:rtl w:val="0"/>
          <w:lang w:val="de-DE"/>
        </w:rPr>
        <w:t>r das Bestehen einer Verkn</w:t>
      </w:r>
      <w:r>
        <w:rPr>
          <w:rtl w:val="0"/>
          <w:lang w:val="de-DE"/>
        </w:rPr>
        <w:t>ü</w:t>
      </w:r>
      <w:r>
        <w:rPr>
          <w:rtl w:val="0"/>
          <w:lang w:val="de-DE"/>
        </w:rPr>
        <w:t>pfung zwischen Verfolgungshandlung und Verfolgungsgrund auf, verbleibende Zweifel gehen nach dieser Rechtsprechung zu Lasten von Schutzsuchenden (Urt. v. 04.07.2019, 1 C 33.18). Danach soll gelten (a.a.O., Rn. 22):</w:t>
      </w:r>
    </w:p>
    <w:p>
      <w:pPr>
        <w:pStyle w:val="Normal.0"/>
        <w:rPr>
          <w:i w:val="1"/>
          <w:iCs w:val="1"/>
        </w:rPr>
      </w:pPr>
      <w:r>
        <w:rPr>
          <w:i w:val="1"/>
          <w:iCs w:val="1"/>
          <w:rtl w:val="0"/>
          <w:lang w:val="de-DE"/>
        </w:rPr>
        <w:t>„</w:t>
      </w:r>
      <w:r>
        <w:rPr>
          <w:i w:val="1"/>
          <w:iCs w:val="1"/>
          <w:rtl w:val="0"/>
          <w:lang w:val="de-DE"/>
        </w:rPr>
        <w:t xml:space="preserve">Kann das Gericht auf der Grundlage der zu seiner </w:t>
      </w:r>
      <w:r>
        <w:rPr>
          <w:i w:val="1"/>
          <w:iCs w:val="1"/>
          <w:rtl w:val="0"/>
          <w:lang w:val="de-DE"/>
        </w:rPr>
        <w:t>Ü</w:t>
      </w:r>
      <w:r>
        <w:rPr>
          <w:i w:val="1"/>
          <w:iCs w:val="1"/>
          <w:rtl w:val="0"/>
          <w:lang w:val="de-DE"/>
        </w:rPr>
        <w:t>berzeugung feststehenden Prognosebasis hinsichtlich der beachtlichen Wahrscheinlichkeit einer dem Kl</w:t>
      </w:r>
      <w:r>
        <w:rPr>
          <w:i w:val="1"/>
          <w:iCs w:val="1"/>
          <w:rtl w:val="0"/>
          <w:lang w:val="de-DE"/>
        </w:rPr>
        <w:t>ä</w:t>
      </w:r>
      <w:r>
        <w:rPr>
          <w:i w:val="1"/>
          <w:iCs w:val="1"/>
          <w:rtl w:val="0"/>
          <w:lang w:val="de-DE"/>
        </w:rPr>
        <w:t xml:space="preserve">ger individuell drohenden Verfolgung weder in die eine noch in die andere Richtung eine </w:t>
      </w:r>
      <w:r>
        <w:rPr>
          <w:i w:val="1"/>
          <w:iCs w:val="1"/>
          <w:rtl w:val="0"/>
          <w:lang w:val="de-DE"/>
        </w:rPr>
        <w:t>Ü</w:t>
      </w:r>
      <w:r>
        <w:rPr>
          <w:i w:val="1"/>
          <w:iCs w:val="1"/>
          <w:rtl w:val="0"/>
          <w:lang w:val="de-DE"/>
        </w:rPr>
        <w:t>berzeugung gewinnen und sieht es keinen Anhaltspunkt f</w:t>
      </w:r>
      <w:r>
        <w:rPr>
          <w:i w:val="1"/>
          <w:iCs w:val="1"/>
          <w:rtl w:val="0"/>
          <w:lang w:val="de-DE"/>
        </w:rPr>
        <w:t>ü</w:t>
      </w:r>
      <w:r>
        <w:rPr>
          <w:i w:val="1"/>
          <w:iCs w:val="1"/>
          <w:rtl w:val="0"/>
          <w:lang w:val="de-DE"/>
        </w:rPr>
        <w:t>r eine weitere Sachaufkl</w:t>
      </w:r>
      <w:r>
        <w:rPr>
          <w:i w:val="1"/>
          <w:iCs w:val="1"/>
          <w:rtl w:val="0"/>
          <w:lang w:val="de-DE"/>
        </w:rPr>
        <w:t>ä</w:t>
      </w:r>
      <w:r>
        <w:rPr>
          <w:i w:val="1"/>
          <w:iCs w:val="1"/>
          <w:rtl w:val="0"/>
          <w:lang w:val="de-DE"/>
        </w:rPr>
        <w:t>rung, hat es die Nichterweislichkeit des behaupteten Verfolgungsschicksals festzustellen und eine Beweislastentscheidung zu treffen</w:t>
      </w:r>
      <w:r>
        <w:rPr>
          <w:i w:val="1"/>
          <w:iCs w:val="1"/>
          <w:rtl w:val="0"/>
          <w:lang w:val="de-DE"/>
        </w:rPr>
        <w:t>“</w:t>
      </w:r>
      <w:r>
        <w:rPr>
          <w:i w:val="1"/>
          <w:iCs w:val="1"/>
          <w:rtl w:val="0"/>
          <w:lang w:val="de-DE"/>
        </w:rPr>
        <w:t xml:space="preserve">. </w:t>
      </w:r>
    </w:p>
    <w:p>
      <w:pPr>
        <w:pStyle w:val="Normal.0"/>
      </w:pPr>
      <w:r>
        <w:rPr>
          <w:rtl w:val="0"/>
          <w:lang w:val="de-DE"/>
        </w:rPr>
        <w:t>Die materielle Beweislast f</w:t>
      </w:r>
      <w:r>
        <w:rPr>
          <w:rtl w:val="0"/>
          <w:lang w:val="de-DE"/>
        </w:rPr>
        <w:t>ü</w:t>
      </w:r>
      <w:r>
        <w:rPr>
          <w:rtl w:val="0"/>
          <w:lang w:val="de-DE"/>
        </w:rPr>
        <w:t>r eine mit beachtlicher Wahrscheinlichkeit drohende Verfolgung liegt nach Auffassung des Bundesverwaltungsgerichts dabei beim Antragsteller bzw. Kl</w:t>
      </w:r>
      <w:r>
        <w:rPr>
          <w:rtl w:val="0"/>
          <w:lang w:val="de-DE"/>
        </w:rPr>
        <w:t>ä</w:t>
      </w:r>
      <w:r>
        <w:rPr>
          <w:rtl w:val="0"/>
          <w:lang w:val="de-DE"/>
        </w:rPr>
        <w:t>ger und nicht bei der Beklagten, die Nichterweislichkeit geht zu Lasten des Schutzsuchenden (Rn. 24 f.).</w:t>
      </w:r>
    </w:p>
    <w:p>
      <w:pPr>
        <w:pStyle w:val="Normal.0"/>
      </w:pPr>
      <w:r>
        <w:rPr>
          <w:rtl w:val="0"/>
          <w:lang w:val="de-DE"/>
        </w:rPr>
        <w:t>Auch die Beurteilung, ob eine drohende Verfolgungshandlung an einen Verfolgungsgrund ankn</w:t>
      </w:r>
      <w:r>
        <w:rPr>
          <w:rtl w:val="0"/>
          <w:lang w:val="de-DE"/>
        </w:rPr>
        <w:t>ü</w:t>
      </w:r>
      <w:r>
        <w:rPr>
          <w:rtl w:val="0"/>
          <w:lang w:val="de-DE"/>
        </w:rPr>
        <w:t>pft, soll danach dieser Sachverhalts- und Beweisw</w:t>
      </w:r>
      <w:r>
        <w:rPr>
          <w:rtl w:val="0"/>
          <w:lang w:val="de-DE"/>
        </w:rPr>
        <w:t>ü</w:t>
      </w:r>
      <w:r>
        <w:rPr>
          <w:rtl w:val="0"/>
          <w:lang w:val="de-DE"/>
        </w:rPr>
        <w:t xml:space="preserve">rdigung unterliegen (Rn. 29). </w:t>
      </w:r>
    </w:p>
    <w:p>
      <w:pPr>
        <w:pStyle w:val="Normal.0"/>
      </w:pPr>
      <w:r>
        <w:rPr>
          <w:rtl w:val="0"/>
          <w:lang w:val="de-DE"/>
        </w:rPr>
        <w:t>Demgegen</w:t>
      </w:r>
      <w:r>
        <w:rPr>
          <w:rtl w:val="0"/>
          <w:lang w:val="de-DE"/>
        </w:rPr>
        <w:t>ü</w:t>
      </w:r>
      <w:r>
        <w:rPr>
          <w:rtl w:val="0"/>
          <w:lang w:val="de-DE"/>
        </w:rPr>
        <w:t xml:space="preserve">ber geht der EuGH im Falle des Vorliegens der Voraussetzungen des Art. 9 Abs. 2 Buchst. e) der Anerkennungsrichtlinie </w:t>
      </w:r>
      <w:r>
        <w:rPr>
          <w:rtl w:val="0"/>
          <w:lang w:val="de-DE"/>
        </w:rPr>
        <w:t xml:space="preserve">– </w:t>
      </w:r>
      <w:r>
        <w:rPr>
          <w:rtl w:val="0"/>
          <w:lang w:val="de-DE"/>
        </w:rPr>
        <w:t>die nach seiner Ansicht im syrischen B</w:t>
      </w:r>
      <w:r>
        <w:rPr>
          <w:rtl w:val="0"/>
          <w:lang w:val="de-DE"/>
        </w:rPr>
        <w:t>ü</w:t>
      </w:r>
      <w:r>
        <w:rPr>
          <w:rtl w:val="0"/>
          <w:lang w:val="de-DE"/>
        </w:rPr>
        <w:t>rgerkrieg ohne Weiteres als erf</w:t>
      </w:r>
      <w:r>
        <w:rPr>
          <w:rtl w:val="0"/>
          <w:lang w:val="de-DE"/>
        </w:rPr>
        <w:t>ü</w:t>
      </w:r>
      <w:r>
        <w:rPr>
          <w:rtl w:val="0"/>
          <w:lang w:val="de-DE"/>
        </w:rPr>
        <w:t xml:space="preserve">llt anzusehen sind </w:t>
      </w:r>
      <w:r>
        <w:rPr>
          <w:rtl w:val="0"/>
          <w:lang w:val="de-DE"/>
        </w:rPr>
        <w:t xml:space="preserve">– </w:t>
      </w:r>
      <w:r>
        <w:rPr>
          <w:rtl w:val="0"/>
          <w:lang w:val="de-DE"/>
        </w:rPr>
        <w:t>von einer gesetzlichen Vermutung f</w:t>
      </w:r>
      <w:r>
        <w:rPr>
          <w:rtl w:val="0"/>
          <w:lang w:val="de-DE"/>
        </w:rPr>
        <w:t>ü</w:t>
      </w:r>
      <w:r>
        <w:rPr>
          <w:rtl w:val="0"/>
          <w:lang w:val="de-DE"/>
        </w:rPr>
        <w:t>r das Vorliegen der Verkn</w:t>
      </w:r>
      <w:r>
        <w:rPr>
          <w:rtl w:val="0"/>
          <w:lang w:val="de-DE"/>
        </w:rPr>
        <w:t>ü</w:t>
      </w:r>
      <w:r>
        <w:rPr>
          <w:rtl w:val="0"/>
          <w:lang w:val="de-DE"/>
        </w:rPr>
        <w:t xml:space="preserve">pfung zwischen drohender Verfolgungshandlung und Verfolgungsgrund aus. </w:t>
      </w:r>
    </w:p>
    <w:p>
      <w:pPr>
        <w:pStyle w:val="Normal.0"/>
      </w:pPr>
      <w:r>
        <w:rPr>
          <w:rtl w:val="0"/>
          <w:lang w:val="de-DE"/>
        </w:rPr>
        <w:t>Der EuGH betont, dass syrische Kriegsdienstverweigerer nicht die notwendige Kausalit</w:t>
      </w:r>
      <w:r>
        <w:rPr>
          <w:rtl w:val="0"/>
          <w:lang w:val="de-DE"/>
        </w:rPr>
        <w:t>ä</w:t>
      </w:r>
      <w:r>
        <w:rPr>
          <w:rtl w:val="0"/>
          <w:lang w:val="de-DE"/>
        </w:rPr>
        <w:t xml:space="preserve">t zwischen der ihnen drohenden Verfolgungshandlung </w:t>
      </w:r>
      <w:r>
        <w:rPr>
          <w:rtl w:val="0"/>
          <w:lang w:val="de-DE"/>
        </w:rPr>
        <w:t xml:space="preserve">– </w:t>
      </w:r>
      <w:r>
        <w:rPr>
          <w:rtl w:val="0"/>
          <w:lang w:val="de-DE"/>
        </w:rPr>
        <w:t>die Strafverfolgung oder Bestrafung wegen der Verweigerung des Milit</w:t>
      </w:r>
      <w:r>
        <w:rPr>
          <w:rtl w:val="0"/>
          <w:lang w:val="de-DE"/>
        </w:rPr>
        <w:t>ä</w:t>
      </w:r>
      <w:r>
        <w:rPr>
          <w:rtl w:val="0"/>
          <w:lang w:val="de-DE"/>
        </w:rPr>
        <w:t xml:space="preserve">rdienstes i.S.d. Art. 9 Abs. 2 Buchst. e der Richtlinie (= Anerkennungsrichtlinie) </w:t>
      </w:r>
      <w:r>
        <w:rPr>
          <w:rtl w:val="0"/>
          <w:lang w:val="de-DE"/>
        </w:rPr>
        <w:t xml:space="preserve">– </w:t>
      </w:r>
      <w:r>
        <w:rPr>
          <w:rtl w:val="0"/>
          <w:lang w:val="de-DE"/>
        </w:rPr>
        <w:t>und einem Verfolgungsgrund beweisen m</w:t>
      </w:r>
      <w:r>
        <w:rPr>
          <w:rtl w:val="0"/>
          <w:lang w:val="de-DE"/>
        </w:rPr>
        <w:t>ü</w:t>
      </w:r>
      <w:r>
        <w:rPr>
          <w:rtl w:val="0"/>
          <w:lang w:val="de-DE"/>
        </w:rPr>
        <w:t xml:space="preserve">ssen. </w:t>
      </w:r>
    </w:p>
    <w:p>
      <w:pPr>
        <w:pStyle w:val="Normal.0"/>
      </w:pPr>
      <w:r>
        <w:rPr>
          <w:rtl w:val="0"/>
          <w:lang w:val="de-DE"/>
        </w:rPr>
        <w:t>Antragsteller m</w:t>
      </w:r>
      <w:r>
        <w:rPr>
          <w:rtl w:val="0"/>
          <w:lang w:val="de-DE"/>
        </w:rPr>
        <w:t>ü</w:t>
      </w:r>
      <w:r>
        <w:rPr>
          <w:rtl w:val="0"/>
          <w:lang w:val="de-DE"/>
        </w:rPr>
        <w:t>ssten zwar nach Art. 4 Abs. 1 S. 1 der Anerkennungsrichtlinie so schnell wie m</w:t>
      </w:r>
      <w:r>
        <w:rPr>
          <w:rtl w:val="0"/>
          <w:lang w:val="de-DE"/>
        </w:rPr>
        <w:t>ö</w:t>
      </w:r>
      <w:r>
        <w:rPr>
          <w:rtl w:val="0"/>
          <w:lang w:val="de-DE"/>
        </w:rPr>
        <w:t>glich alle zur Begr</w:t>
      </w:r>
      <w:r>
        <w:rPr>
          <w:rtl w:val="0"/>
          <w:lang w:val="de-DE"/>
        </w:rPr>
        <w:t>ü</w:t>
      </w:r>
      <w:r>
        <w:rPr>
          <w:rtl w:val="0"/>
          <w:lang w:val="de-DE"/>
        </w:rPr>
        <w:t>ndung des Antrags auf internationalen Schutz erforderlichen Anhaltspunkte darlegen. Dies bilde aber nur den Ausgangspunkt der von den zust</w:t>
      </w:r>
      <w:r>
        <w:rPr>
          <w:rtl w:val="0"/>
          <w:lang w:val="de-DE"/>
        </w:rPr>
        <w:t>ä</w:t>
      </w:r>
      <w:r>
        <w:rPr>
          <w:rtl w:val="0"/>
          <w:lang w:val="de-DE"/>
        </w:rPr>
        <w:t>ndigen Beh</w:t>
      </w:r>
      <w:r>
        <w:rPr>
          <w:rtl w:val="0"/>
          <w:lang w:val="de-DE"/>
        </w:rPr>
        <w:t>ö</w:t>
      </w:r>
      <w:r>
        <w:rPr>
          <w:rtl w:val="0"/>
          <w:lang w:val="de-DE"/>
        </w:rPr>
        <w:t>rden vorzunehmenden Pr</w:t>
      </w:r>
      <w:r>
        <w:rPr>
          <w:rtl w:val="0"/>
          <w:lang w:val="de-DE"/>
        </w:rPr>
        <w:t>ü</w:t>
      </w:r>
      <w:r>
        <w:rPr>
          <w:rtl w:val="0"/>
          <w:lang w:val="de-DE"/>
        </w:rPr>
        <w:t>fung, da es nach S. 2 genannter Bestimmung Pflicht des Mitgliedstaats ist, unter Mitwirkung des Antragstellers die f</w:t>
      </w:r>
      <w:r>
        <w:rPr>
          <w:rtl w:val="0"/>
          <w:lang w:val="de-DE"/>
        </w:rPr>
        <w:t>ü</w:t>
      </w:r>
      <w:r>
        <w:rPr>
          <w:rtl w:val="0"/>
          <w:lang w:val="de-DE"/>
        </w:rPr>
        <w:t>r seinen Antrag ma</w:t>
      </w:r>
      <w:r>
        <w:rPr>
          <w:rtl w:val="0"/>
          <w:lang w:val="de-DE"/>
        </w:rPr>
        <w:t>ß</w:t>
      </w:r>
      <w:r>
        <w:rPr>
          <w:rtl w:val="0"/>
          <w:lang w:val="de-DE"/>
        </w:rPr>
        <w:t>geblichen Anhaltspunkte zu pr</w:t>
      </w:r>
      <w:r>
        <w:rPr>
          <w:rtl w:val="0"/>
          <w:lang w:val="de-DE"/>
        </w:rPr>
        <w:t>ü</w:t>
      </w:r>
      <w:r>
        <w:rPr>
          <w:rtl w:val="0"/>
          <w:lang w:val="de-DE"/>
        </w:rPr>
        <w:t xml:space="preserve">fen. </w:t>
      </w:r>
    </w:p>
    <w:p>
      <w:pPr>
        <w:pStyle w:val="Normal.0"/>
      </w:pPr>
      <w:r>
        <w:rPr>
          <w:rtl w:val="0"/>
          <w:lang w:val="de-DE"/>
        </w:rPr>
        <w:t>Seitens des Antragstellers sei zwar nach Art. 4 Abs. 2 zu den Gr</w:t>
      </w:r>
      <w:r>
        <w:rPr>
          <w:rtl w:val="0"/>
          <w:lang w:val="de-DE"/>
        </w:rPr>
        <w:t>ü</w:t>
      </w:r>
      <w:r>
        <w:rPr>
          <w:rtl w:val="0"/>
          <w:lang w:val="de-DE"/>
        </w:rPr>
        <w:t>nden f</w:t>
      </w:r>
      <w:r>
        <w:rPr>
          <w:rtl w:val="0"/>
          <w:lang w:val="de-DE"/>
        </w:rPr>
        <w:t>ü</w:t>
      </w:r>
      <w:r>
        <w:rPr>
          <w:rtl w:val="0"/>
          <w:lang w:val="de-DE"/>
        </w:rPr>
        <w:t>r seinen Antrag auf internationalen Schutz vorzutragen, wozu zwangsl</w:t>
      </w:r>
      <w:r>
        <w:rPr>
          <w:rtl w:val="0"/>
          <w:lang w:val="de-DE"/>
        </w:rPr>
        <w:t>ä</w:t>
      </w:r>
      <w:r>
        <w:rPr>
          <w:rtl w:val="0"/>
          <w:lang w:val="de-DE"/>
        </w:rPr>
        <w:t>ufig auch der Grund der Verfolgungshandlung  geh</w:t>
      </w:r>
      <w:r>
        <w:rPr>
          <w:rtl w:val="0"/>
          <w:lang w:val="de-DE"/>
        </w:rPr>
        <w:t>ö</w:t>
      </w:r>
      <w:r>
        <w:rPr>
          <w:rtl w:val="0"/>
          <w:lang w:val="de-DE"/>
        </w:rPr>
        <w:t>re, die der Antragsteller bef</w:t>
      </w:r>
      <w:r>
        <w:rPr>
          <w:rtl w:val="0"/>
          <w:lang w:val="de-DE"/>
        </w:rPr>
        <w:t>ü</w:t>
      </w:r>
      <w:r>
        <w:rPr>
          <w:rtl w:val="0"/>
          <w:lang w:val="de-DE"/>
        </w:rPr>
        <w:t>rchtet. Es sei aber ausdr</w:t>
      </w:r>
      <w:r>
        <w:rPr>
          <w:rtl w:val="0"/>
          <w:lang w:val="de-DE"/>
        </w:rPr>
        <w:t>ü</w:t>
      </w:r>
      <w:r>
        <w:rPr>
          <w:rtl w:val="0"/>
          <w:lang w:val="de-DE"/>
        </w:rPr>
        <w:t xml:space="preserve">cklich nicht </w:t>
      </w:r>
    </w:p>
    <w:p>
      <w:pPr>
        <w:pStyle w:val="Normal.0"/>
        <w:rPr>
          <w:i w:val="1"/>
          <w:iCs w:val="1"/>
        </w:rPr>
      </w:pPr>
      <w:r>
        <w:rPr>
          <w:i w:val="1"/>
          <w:iCs w:val="1"/>
          <w:rtl w:val="0"/>
          <w:lang w:val="de-DE"/>
        </w:rPr>
        <w:t>„</w:t>
      </w:r>
      <w:r>
        <w:rPr>
          <w:i w:val="1"/>
          <w:iCs w:val="1"/>
          <w:rtl w:val="0"/>
          <w:lang w:val="de-DE"/>
        </w:rPr>
        <w:t>Sache der um internationalen Schutz nachsuchenden Person [</w:t>
      </w:r>
      <w:r>
        <w:rPr>
          <w:i w:val="1"/>
          <w:iCs w:val="1"/>
          <w:rtl w:val="0"/>
          <w:lang w:val="de-DE"/>
        </w:rPr>
        <w:t>…</w:t>
      </w:r>
      <w:r>
        <w:rPr>
          <w:i w:val="1"/>
          <w:iCs w:val="1"/>
          <w:rtl w:val="0"/>
          <w:lang w:val="de-DE"/>
        </w:rPr>
        <w:t>] den Beweis f</w:t>
      </w:r>
      <w:r>
        <w:rPr>
          <w:i w:val="1"/>
          <w:iCs w:val="1"/>
          <w:rtl w:val="0"/>
          <w:lang w:val="de-DE"/>
        </w:rPr>
        <w:t>ü</w:t>
      </w:r>
      <w:r>
        <w:rPr>
          <w:i w:val="1"/>
          <w:iCs w:val="1"/>
          <w:rtl w:val="0"/>
          <w:lang w:val="de-DE"/>
        </w:rPr>
        <w:t>r die Verkn</w:t>
      </w:r>
      <w:r>
        <w:rPr>
          <w:i w:val="1"/>
          <w:iCs w:val="1"/>
          <w:rtl w:val="0"/>
          <w:lang w:val="de-DE"/>
        </w:rPr>
        <w:t>ü</w:t>
      </w:r>
      <w:r>
        <w:rPr>
          <w:i w:val="1"/>
          <w:iCs w:val="1"/>
          <w:rtl w:val="0"/>
          <w:lang w:val="de-DE"/>
        </w:rPr>
        <w:t>pfung zwischen den in Art. 2 Buchst. d und Art. 10 der Richtlinie 2011/95 genannten Gr</w:t>
      </w:r>
      <w:r>
        <w:rPr>
          <w:i w:val="1"/>
          <w:iCs w:val="1"/>
          <w:rtl w:val="0"/>
          <w:lang w:val="de-DE"/>
        </w:rPr>
        <w:t>ü</w:t>
      </w:r>
      <w:r>
        <w:rPr>
          <w:i w:val="1"/>
          <w:iCs w:val="1"/>
          <w:rtl w:val="0"/>
          <w:lang w:val="de-DE"/>
        </w:rPr>
        <w:t>nden und der Strafverfolgung und Bestrafung zu erbringen, mit der sie aufgrund ihrer Verweigerung des Milit</w:t>
      </w:r>
      <w:r>
        <w:rPr>
          <w:i w:val="1"/>
          <w:iCs w:val="1"/>
          <w:rtl w:val="0"/>
          <w:lang w:val="de-DE"/>
        </w:rPr>
        <w:t>ä</w:t>
      </w:r>
      <w:r>
        <w:rPr>
          <w:i w:val="1"/>
          <w:iCs w:val="1"/>
          <w:rtl w:val="0"/>
          <w:lang w:val="de-DE"/>
        </w:rPr>
        <w:t>rdienstes unter den in Art. 9 Abs. 2 Buchst. e dieser Richtlinie genannten Voraussetzungen rechnen muss</w:t>
      </w:r>
      <w:r>
        <w:rPr>
          <w:i w:val="1"/>
          <w:iCs w:val="1"/>
          <w:rtl w:val="0"/>
          <w:lang w:val="de-DE"/>
        </w:rPr>
        <w:t xml:space="preserve">“ </w:t>
      </w:r>
      <w:r>
        <w:rPr>
          <w:rtl w:val="0"/>
          <w:lang w:val="de-DE"/>
        </w:rPr>
        <w:t>(Rn. 54)</w:t>
      </w:r>
      <w:r>
        <w:rPr>
          <w:i w:val="1"/>
          <w:iCs w:val="1"/>
          <w:rtl w:val="0"/>
          <w:lang w:val="de-DE"/>
        </w:rPr>
        <w:t xml:space="preserve">. </w:t>
      </w:r>
    </w:p>
    <w:p>
      <w:pPr>
        <w:pStyle w:val="Normal.0"/>
        <w:rPr>
          <w:i w:val="1"/>
          <w:iCs w:val="1"/>
        </w:rPr>
      </w:pPr>
      <w:r>
        <w:rPr>
          <w:rtl w:val="0"/>
          <w:lang w:val="de-DE"/>
        </w:rPr>
        <w:t>In diesem Kontext betont der EuGH auch, dass Antragsteller oft nicht in der Lage sein werden, ihre Antr</w:t>
      </w:r>
      <w:r>
        <w:rPr>
          <w:rtl w:val="0"/>
          <w:lang w:val="de-DE"/>
        </w:rPr>
        <w:t>ä</w:t>
      </w:r>
      <w:r>
        <w:rPr>
          <w:rtl w:val="0"/>
          <w:lang w:val="de-DE"/>
        </w:rPr>
        <w:t>ge durch Unterlagen oder sonstige Beweise zu untermauern. Unter diesen Umst</w:t>
      </w:r>
      <w:r>
        <w:rPr>
          <w:rtl w:val="0"/>
          <w:lang w:val="de-DE"/>
        </w:rPr>
        <w:t>ä</w:t>
      </w:r>
      <w:r>
        <w:rPr>
          <w:rtl w:val="0"/>
          <w:lang w:val="de-DE"/>
        </w:rPr>
        <w:t>nden sei es Sache der zust</w:t>
      </w:r>
      <w:r>
        <w:rPr>
          <w:rtl w:val="0"/>
          <w:lang w:val="de-DE"/>
        </w:rPr>
        <w:t>ä</w:t>
      </w:r>
      <w:r>
        <w:rPr>
          <w:rtl w:val="0"/>
          <w:lang w:val="de-DE"/>
        </w:rPr>
        <w:t>ndigen Beh</w:t>
      </w:r>
      <w:r>
        <w:rPr>
          <w:rtl w:val="0"/>
          <w:lang w:val="de-DE"/>
        </w:rPr>
        <w:t>ö</w:t>
      </w:r>
      <w:r>
        <w:rPr>
          <w:rtl w:val="0"/>
          <w:lang w:val="de-DE"/>
        </w:rPr>
        <w:t>rden, die Plausibilit</w:t>
      </w:r>
      <w:r>
        <w:rPr>
          <w:rtl w:val="0"/>
          <w:lang w:val="de-DE"/>
        </w:rPr>
        <w:t>ä</w:t>
      </w:r>
      <w:r>
        <w:rPr>
          <w:rtl w:val="0"/>
          <w:lang w:val="de-DE"/>
        </w:rPr>
        <w:t>t der besagten Verkn</w:t>
      </w:r>
      <w:r>
        <w:rPr>
          <w:rtl w:val="0"/>
          <w:lang w:val="de-DE"/>
        </w:rPr>
        <w:t>ü</w:t>
      </w:r>
      <w:r>
        <w:rPr>
          <w:rtl w:val="0"/>
          <w:lang w:val="de-DE"/>
        </w:rPr>
        <w:t>pfung zwischen Verfolgungshandlung und Verfolgungsgrund zu pr</w:t>
      </w:r>
      <w:r>
        <w:rPr>
          <w:rtl w:val="0"/>
          <w:lang w:val="de-DE"/>
        </w:rPr>
        <w:t>ü</w:t>
      </w:r>
      <w:r>
        <w:rPr>
          <w:rtl w:val="0"/>
          <w:lang w:val="de-DE"/>
        </w:rPr>
        <w:t xml:space="preserve">fen (Rn. 56). Dabei spreche </w:t>
      </w:r>
      <w:r>
        <w:rPr>
          <w:i w:val="1"/>
          <w:iCs w:val="1"/>
          <w:rtl w:val="0"/>
          <w:lang w:val="de-DE"/>
        </w:rPr>
        <w:t>„</w:t>
      </w:r>
      <w:r>
        <w:rPr>
          <w:i w:val="1"/>
          <w:iCs w:val="1"/>
          <w:rtl w:val="0"/>
          <w:lang w:val="de-DE"/>
        </w:rPr>
        <w:t>eine starke Vermutung</w:t>
      </w:r>
      <w:r>
        <w:rPr>
          <w:i w:val="1"/>
          <w:iCs w:val="1"/>
          <w:rtl w:val="0"/>
          <w:lang w:val="de-DE"/>
        </w:rPr>
        <w:t>“</w:t>
      </w:r>
      <w:r>
        <w:rPr>
          <w:rtl w:val="0"/>
          <w:lang w:val="de-DE"/>
        </w:rPr>
        <w:t xml:space="preserve"> daf</w:t>
      </w:r>
      <w:r>
        <w:rPr>
          <w:rtl w:val="0"/>
          <w:lang w:val="de-DE"/>
        </w:rPr>
        <w:t>ü</w:t>
      </w:r>
      <w:r>
        <w:rPr>
          <w:rtl w:val="0"/>
          <w:lang w:val="de-DE"/>
        </w:rPr>
        <w:t>r, dass die Verweigerung des Milit</w:t>
      </w:r>
      <w:r>
        <w:rPr>
          <w:rtl w:val="0"/>
          <w:lang w:val="de-DE"/>
        </w:rPr>
        <w:t>ä</w:t>
      </w:r>
      <w:r>
        <w:rPr>
          <w:rtl w:val="0"/>
          <w:lang w:val="de-DE"/>
        </w:rPr>
        <w:t>rdienstes unter den in Art. 9 Abs. 2 Buchst. e der Anerkennungsrichtlinie erl</w:t>
      </w:r>
      <w:r>
        <w:rPr>
          <w:rtl w:val="0"/>
          <w:lang w:val="de-DE"/>
        </w:rPr>
        <w:t>ä</w:t>
      </w:r>
      <w:r>
        <w:rPr>
          <w:rtl w:val="0"/>
          <w:lang w:val="de-DE"/>
        </w:rPr>
        <w:t>uterten Voraussetzungen mit einem der in Art. 10 dieser Richtlinie genannten Gr</w:t>
      </w:r>
      <w:r>
        <w:rPr>
          <w:rtl w:val="0"/>
          <w:lang w:val="de-DE"/>
        </w:rPr>
        <w:t>ü</w:t>
      </w:r>
      <w:r>
        <w:rPr>
          <w:rtl w:val="0"/>
          <w:lang w:val="de-DE"/>
        </w:rPr>
        <w:t xml:space="preserve">nde in Zusammenhang stehe (Rn. 57). </w:t>
      </w:r>
    </w:p>
    <w:p>
      <w:pPr>
        <w:pStyle w:val="Normal.0"/>
      </w:pPr>
      <w:r>
        <w:rPr>
          <w:rtl w:val="0"/>
          <w:lang w:val="de-DE"/>
        </w:rPr>
        <w:t>Gerade auch durch die Pr</w:t>
      </w:r>
      <w:r>
        <w:rPr>
          <w:rtl w:val="0"/>
          <w:lang w:val="de-DE"/>
        </w:rPr>
        <w:t>ä</w:t>
      </w:r>
      <w:r>
        <w:rPr>
          <w:rtl w:val="0"/>
          <w:lang w:val="de-DE"/>
        </w:rPr>
        <w:t>zisierung der Kriegsdienstverweigerer betreffenden Verfolgungshandlung in Art. 9 Abs. 2 Buchst. e der Anerkennungsrichtlinie werde deutlich, dass der Unionsgesetzgeber davon ausging, dass diese</w:t>
      </w:r>
    </w:p>
    <w:p>
      <w:pPr>
        <w:pStyle w:val="Normal.0"/>
        <w:rPr>
          <w:i w:val="1"/>
          <w:iCs w:val="1"/>
        </w:rPr>
      </w:pPr>
      <w:r>
        <w:rPr>
          <w:i w:val="1"/>
          <w:iCs w:val="1"/>
          <w:rtl w:val="0"/>
          <w:lang w:val="de-DE"/>
        </w:rPr>
        <w:t>„</w:t>
      </w:r>
      <w:r>
        <w:rPr>
          <w:i w:val="1"/>
          <w:iCs w:val="1"/>
          <w:rtl w:val="0"/>
          <w:lang w:val="de-DE"/>
        </w:rPr>
        <w:t>im Allgemeinen mit zumindest einem der f</w:t>
      </w:r>
      <w:r>
        <w:rPr>
          <w:i w:val="1"/>
          <w:iCs w:val="1"/>
          <w:rtl w:val="0"/>
          <w:lang w:val="de-DE"/>
        </w:rPr>
        <w:t>ü</w:t>
      </w:r>
      <w:r>
        <w:rPr>
          <w:i w:val="1"/>
          <w:iCs w:val="1"/>
          <w:rtl w:val="0"/>
          <w:lang w:val="de-DE"/>
        </w:rPr>
        <w:t>nf Verfolgungsgr</w:t>
      </w:r>
      <w:r>
        <w:rPr>
          <w:i w:val="1"/>
          <w:iCs w:val="1"/>
          <w:rtl w:val="0"/>
          <w:lang w:val="de-DE"/>
        </w:rPr>
        <w:t>ü</w:t>
      </w:r>
      <w:r>
        <w:rPr>
          <w:i w:val="1"/>
          <w:iCs w:val="1"/>
          <w:rtl w:val="0"/>
          <w:lang w:val="de-DE"/>
        </w:rPr>
        <w:t>nde in Zusammenhang steht, die einen Anspruch auf Zuerkennung der Fl</w:t>
      </w:r>
      <w:r>
        <w:rPr>
          <w:i w:val="1"/>
          <w:iCs w:val="1"/>
          <w:rtl w:val="0"/>
          <w:lang w:val="de-DE"/>
        </w:rPr>
        <w:t>ü</w:t>
      </w:r>
      <w:r>
        <w:rPr>
          <w:i w:val="1"/>
          <w:iCs w:val="1"/>
          <w:rtl w:val="0"/>
          <w:lang w:val="de-DE"/>
        </w:rPr>
        <w:t>chtlingseigenschaft er</w:t>
      </w:r>
      <w:r>
        <w:rPr>
          <w:i w:val="1"/>
          <w:iCs w:val="1"/>
          <w:rtl w:val="0"/>
          <w:lang w:val="de-DE"/>
        </w:rPr>
        <w:t>ö</w:t>
      </w:r>
      <w:r>
        <w:rPr>
          <w:i w:val="1"/>
          <w:iCs w:val="1"/>
          <w:rtl w:val="0"/>
          <w:lang w:val="de-DE"/>
        </w:rPr>
        <w:t>ffnen</w:t>
      </w:r>
      <w:r>
        <w:rPr>
          <w:i w:val="1"/>
          <w:iCs w:val="1"/>
          <w:rtl w:val="0"/>
          <w:lang w:val="de-DE"/>
        </w:rPr>
        <w:t>“</w:t>
      </w:r>
      <w:r>
        <w:rPr>
          <w:i w:val="1"/>
          <w:iCs w:val="1"/>
          <w:rtl w:val="0"/>
          <w:lang w:val="de-DE"/>
        </w:rPr>
        <w:t xml:space="preserve">. </w:t>
      </w:r>
    </w:p>
    <w:p>
      <w:pPr>
        <w:pStyle w:val="Normal.0"/>
      </w:pPr>
      <w:r>
        <w:rPr>
          <w:rtl w:val="0"/>
          <w:lang w:val="de-DE"/>
        </w:rPr>
        <w:t>Der EuGH folgt in diesen Zusammenhang den Ausf</w:t>
      </w:r>
      <w:r>
        <w:rPr>
          <w:rtl w:val="0"/>
          <w:lang w:val="de-DE"/>
        </w:rPr>
        <w:t>ü</w:t>
      </w:r>
      <w:r>
        <w:rPr>
          <w:rtl w:val="0"/>
          <w:lang w:val="de-DE"/>
        </w:rPr>
        <w:t>hrungen der Generalanw</w:t>
      </w:r>
      <w:r>
        <w:rPr>
          <w:rtl w:val="0"/>
          <w:lang w:val="de-DE"/>
        </w:rPr>
        <w:t>ä</w:t>
      </w:r>
      <w:r>
        <w:rPr>
          <w:rtl w:val="0"/>
          <w:lang w:val="de-DE"/>
        </w:rPr>
        <w:t>ltin Sharpston, die in Rn. 75 ihrer Schlussantr</w:t>
      </w:r>
      <w:r>
        <w:rPr>
          <w:rtl w:val="0"/>
          <w:lang w:val="de-DE"/>
        </w:rPr>
        <w:t>ä</w:t>
      </w:r>
      <w:r>
        <w:rPr>
          <w:rtl w:val="0"/>
          <w:lang w:val="de-DE"/>
        </w:rPr>
        <w:t>ge betont hat, dass die Verweigerung des Milit</w:t>
      </w:r>
      <w:r>
        <w:rPr>
          <w:rtl w:val="0"/>
          <w:lang w:val="de-DE"/>
        </w:rPr>
        <w:t>ä</w:t>
      </w:r>
      <w:r>
        <w:rPr>
          <w:rtl w:val="0"/>
          <w:lang w:val="de-DE"/>
        </w:rPr>
        <w:t>rdienstes insbesondere dann, wenn sie mit schweren Sanktionen bewehrt ist, die Annahme erlaubt, dass ein starker Wertekonflikt oder ein Konflikt politischer oder religi</w:t>
      </w:r>
      <w:r>
        <w:rPr>
          <w:rtl w:val="0"/>
          <w:lang w:val="de-DE"/>
        </w:rPr>
        <w:t>ö</w:t>
      </w:r>
      <w:r>
        <w:rPr>
          <w:rtl w:val="0"/>
          <w:lang w:val="de-DE"/>
        </w:rPr>
        <w:t xml:space="preserve">ser </w:t>
      </w:r>
      <w:r>
        <w:rPr>
          <w:rtl w:val="0"/>
          <w:lang w:val="de-DE"/>
        </w:rPr>
        <w:t>Ü</w:t>
      </w:r>
      <w:r>
        <w:rPr>
          <w:rtl w:val="0"/>
          <w:lang w:val="de-DE"/>
        </w:rPr>
        <w:t>berzeugungen zwischen dem Betroffenen und den Beh</w:t>
      </w:r>
      <w:r>
        <w:rPr>
          <w:rtl w:val="0"/>
          <w:lang w:val="de-DE"/>
        </w:rPr>
        <w:t>ö</w:t>
      </w:r>
      <w:r>
        <w:rPr>
          <w:rtl w:val="0"/>
          <w:lang w:val="de-DE"/>
        </w:rPr>
        <w:t xml:space="preserve">rden des Herkunftslandes vorliegt. </w:t>
      </w:r>
    </w:p>
    <w:p>
      <w:pPr>
        <w:pStyle w:val="Normal.0"/>
      </w:pPr>
      <w:r>
        <w:rPr>
          <w:rtl w:val="0"/>
          <w:lang w:val="de-DE"/>
        </w:rPr>
        <w:t>Zusammengefasst besteht beim Vorliegen der Voraussetzungen des Art. 9 Abs. 2 Buchst. e der Anerkennungsrichtlinie nach Auffassung des EuGH eine gesetzliche Vermutung f</w:t>
      </w:r>
      <w:r>
        <w:rPr>
          <w:rtl w:val="0"/>
          <w:lang w:val="de-DE"/>
        </w:rPr>
        <w:t>ü</w:t>
      </w:r>
      <w:r>
        <w:rPr>
          <w:rtl w:val="0"/>
          <w:lang w:val="de-DE"/>
        </w:rPr>
        <w:t>r das Vorliegen der Verkn</w:t>
      </w:r>
      <w:r>
        <w:rPr>
          <w:rtl w:val="0"/>
          <w:lang w:val="de-DE"/>
        </w:rPr>
        <w:t>ü</w:t>
      </w:r>
      <w:r>
        <w:rPr>
          <w:rtl w:val="0"/>
          <w:lang w:val="de-DE"/>
        </w:rPr>
        <w:t>pfung zwischen drohender Verfolgungshandlung und Verfolgungsgrund. Die Ansicht des Bundesverwaltungsgerichts, welches dem Kl</w:t>
      </w:r>
      <w:r>
        <w:rPr>
          <w:rtl w:val="0"/>
          <w:lang w:val="de-DE"/>
        </w:rPr>
        <w:t>ä</w:t>
      </w:r>
      <w:r>
        <w:rPr>
          <w:rtl w:val="0"/>
          <w:lang w:val="de-DE"/>
        </w:rPr>
        <w:t>ger bzw. Antragsteller die Beweislast sowohl f</w:t>
      </w:r>
      <w:r>
        <w:rPr>
          <w:rtl w:val="0"/>
          <w:lang w:val="de-DE"/>
        </w:rPr>
        <w:t>ü</w:t>
      </w:r>
      <w:r>
        <w:rPr>
          <w:rtl w:val="0"/>
          <w:lang w:val="de-DE"/>
        </w:rPr>
        <w:t>r das Vorliegen der Voraussetzungen des Art. 9 Abs. 2 e) der Anerkennungsrichtlinie als auch f</w:t>
      </w:r>
      <w:r>
        <w:rPr>
          <w:rtl w:val="0"/>
          <w:lang w:val="de-DE"/>
        </w:rPr>
        <w:t>ü</w:t>
      </w:r>
      <w:r>
        <w:rPr>
          <w:rtl w:val="0"/>
          <w:lang w:val="de-DE"/>
        </w:rPr>
        <w:t>r eine Verkn</w:t>
      </w:r>
      <w:r>
        <w:rPr>
          <w:rtl w:val="0"/>
          <w:lang w:val="de-DE"/>
        </w:rPr>
        <w:t>ü</w:t>
      </w:r>
      <w:r>
        <w:rPr>
          <w:rtl w:val="0"/>
          <w:lang w:val="de-DE"/>
        </w:rPr>
        <w:t>pfung der darin normierten Verfolgungshandlung mit einem Verfolgungsgrund aufb</w:t>
      </w:r>
      <w:r>
        <w:rPr>
          <w:rtl w:val="0"/>
          <w:lang w:val="de-DE"/>
        </w:rPr>
        <w:t>ü</w:t>
      </w:r>
      <w:r>
        <w:rPr>
          <w:rtl w:val="0"/>
          <w:lang w:val="de-DE"/>
        </w:rPr>
        <w:t xml:space="preserve">rdet, ist damit nicht mehr haltbar. </w:t>
      </w:r>
    </w:p>
    <w:p>
      <w:pPr>
        <w:pStyle w:val="Normal.0"/>
      </w:pPr>
      <w:r>
        <w:rPr>
          <w:rtl w:val="0"/>
          <w:lang w:val="de-DE"/>
        </w:rPr>
        <w:t>Das Bundesamt ist dem Ansatz des Bundesverwaltungsgerichts in der Vergangenheit gefolgt, weshalb die besagte Entscheidung des EuGH eine nachtr</w:t>
      </w:r>
      <w:r>
        <w:rPr>
          <w:rtl w:val="0"/>
          <w:lang w:val="de-DE"/>
        </w:rPr>
        <w:t>ä</w:t>
      </w:r>
      <w:r>
        <w:rPr>
          <w:rtl w:val="0"/>
          <w:lang w:val="de-DE"/>
        </w:rPr>
        <w:t xml:space="preserve">gliche </w:t>
      </w:r>
      <w:r>
        <w:rPr>
          <w:rtl w:val="0"/>
          <w:lang w:val="de-DE"/>
        </w:rPr>
        <w:t>Ä</w:t>
      </w:r>
      <w:r>
        <w:rPr>
          <w:rtl w:val="0"/>
          <w:lang w:val="de-DE"/>
        </w:rPr>
        <w:t xml:space="preserve">nderung der Rechtslage i.S.d. </w:t>
      </w:r>
      <w:r>
        <w:rPr>
          <w:rtl w:val="0"/>
          <w:lang w:val="de-DE"/>
        </w:rPr>
        <w:t xml:space="preserve">§ </w:t>
      </w:r>
      <w:r>
        <w:rPr>
          <w:rtl w:val="0"/>
          <w:lang w:val="de-DE"/>
        </w:rPr>
        <w:t xml:space="preserve">51 Abs. 1 Nr. 1 VwVfG nach Ergehen der Entscheidung </w:t>
      </w:r>
      <w:r>
        <w:rPr>
          <w:rtl w:val="0"/>
          <w:lang w:val="de-DE"/>
        </w:rPr>
        <w:t>ü</w:t>
      </w:r>
      <w:r>
        <w:rPr>
          <w:rtl w:val="0"/>
          <w:lang w:val="de-DE"/>
        </w:rPr>
        <w:t>ber den ersten Asylantrag des Antragstellers darstellt.</w:t>
      </w:r>
    </w:p>
    <w:p>
      <w:pPr>
        <w:pStyle w:val="Normal.0"/>
      </w:pPr>
      <w:r>
        <w:rPr>
          <w:rtl w:val="0"/>
          <w:lang w:val="de-DE"/>
        </w:rPr>
        <w:t xml:space="preserve">Der Antragsteller macht diese </w:t>
      </w:r>
      <w:r>
        <w:rPr>
          <w:rtl w:val="0"/>
          <w:lang w:val="de-DE"/>
        </w:rPr>
        <w:t>Ä</w:t>
      </w:r>
      <w:r>
        <w:rPr>
          <w:rtl w:val="0"/>
          <w:lang w:val="de-DE"/>
        </w:rPr>
        <w:t xml:space="preserve">nderung der Rechtslage i.S.d. </w:t>
      </w:r>
      <w:r>
        <w:rPr>
          <w:rtl w:val="0"/>
          <w:lang w:val="de-DE"/>
        </w:rPr>
        <w:t xml:space="preserve">§ </w:t>
      </w:r>
      <w:r>
        <w:rPr>
          <w:rtl w:val="0"/>
          <w:lang w:val="de-DE"/>
        </w:rPr>
        <w:t xml:space="preserve">51 Abs. 1 Nr. 1 VwVfG innerhalb von drei Monaten ab Kenntniserlangung von der besagten Entscheidung des EuGH geltend, so dass auch die 3-Monats-Frist des </w:t>
      </w:r>
      <w:r>
        <w:rPr>
          <w:rtl w:val="0"/>
          <w:lang w:val="de-DE"/>
        </w:rPr>
        <w:t xml:space="preserve">§ </w:t>
      </w:r>
      <w:r>
        <w:rPr>
          <w:rtl w:val="0"/>
          <w:lang w:val="de-DE"/>
        </w:rPr>
        <w:t>51 Abs. 3 VwVfG gewahrt ist.</w:t>
      </w:r>
    </w:p>
    <w:p>
      <w:pPr>
        <w:pStyle w:val="Normal.0"/>
      </w:pPr>
      <w:r>
        <w:rPr>
          <w:rtl w:val="0"/>
          <w:lang w:val="de-DE"/>
        </w:rPr>
        <w:t>Der Asylfolgeantrag ist folglich zul</w:t>
      </w:r>
      <w:r>
        <w:rPr>
          <w:rtl w:val="0"/>
          <w:lang w:val="de-DE"/>
        </w:rPr>
        <w:t>ä</w:t>
      </w:r>
      <w:r>
        <w:rPr>
          <w:rtl w:val="0"/>
          <w:lang w:val="de-DE"/>
        </w:rPr>
        <w:t>ssig.</w:t>
      </w:r>
    </w:p>
    <w:p>
      <w:pPr>
        <w:pStyle w:val="Normal.0"/>
      </w:pPr>
    </w:p>
    <w:p>
      <w:pPr>
        <w:pStyle w:val="Normal.0"/>
      </w:pPr>
      <w:r>
        <w:rPr>
          <w:u w:val="single"/>
          <w:rtl w:val="0"/>
          <w:lang w:val="de-DE"/>
        </w:rPr>
        <w:t>II. Begr</w:t>
      </w:r>
      <w:r>
        <w:rPr>
          <w:u w:val="single"/>
          <w:rtl w:val="0"/>
          <w:lang w:val="de-DE"/>
        </w:rPr>
        <w:t>ü</w:t>
      </w:r>
      <w:r>
        <w:rPr>
          <w:u w:val="single"/>
          <w:rtl w:val="0"/>
          <w:lang w:val="de-DE"/>
        </w:rPr>
        <w:t>ndetheit</w:t>
      </w:r>
    </w:p>
    <w:p>
      <w:pPr>
        <w:pStyle w:val="Normal.0"/>
      </w:pPr>
      <w:r>
        <w:rPr>
          <w:rtl w:val="0"/>
          <w:lang w:val="de-DE"/>
        </w:rPr>
        <w:t>Der Asylfolgeantrag ist auch begr</w:t>
      </w:r>
      <w:r>
        <w:rPr>
          <w:rtl w:val="0"/>
          <w:lang w:val="de-DE"/>
        </w:rPr>
        <w:t>ü</w:t>
      </w:r>
      <w:r>
        <w:rPr>
          <w:rtl w:val="0"/>
          <w:lang w:val="de-DE"/>
        </w:rPr>
        <w:t>ndet, da die Voraussetzungen des Art. 9 Abs. 2 Buchst. e der Anerkennungsrichtlinie vorliegen und die Verweigerung des Milit</w:t>
      </w:r>
      <w:r>
        <w:rPr>
          <w:rtl w:val="0"/>
          <w:lang w:val="de-DE"/>
        </w:rPr>
        <w:t>ä</w:t>
      </w:r>
      <w:r>
        <w:rPr>
          <w:rtl w:val="0"/>
          <w:lang w:val="de-DE"/>
        </w:rPr>
        <w:t xml:space="preserve">rdienstes seitens des Antragstellers Ausdruck seiner </w:t>
      </w:r>
      <w:r>
        <w:rPr>
          <w:outline w:val="0"/>
          <w:color w:val="4f81bd"/>
          <w:u w:color="4f81bd"/>
          <w:rtl w:val="0"/>
          <w:lang w:val="de-DE"/>
          <w14:textFill>
            <w14:solidFill>
              <w14:srgbClr w14:val="4F81BD"/>
            </w14:solidFill>
          </w14:textFill>
        </w:rPr>
        <w:t>politischen / religi</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 xml:space="preserve">sen </w:t>
      </w:r>
      <w:r>
        <w:rPr>
          <w:rtl w:val="0"/>
          <w:lang w:val="de-DE"/>
        </w:rPr>
        <w:t>Ü</w:t>
      </w:r>
      <w:r>
        <w:rPr>
          <w:rtl w:val="0"/>
          <w:lang w:val="de-DE"/>
        </w:rPr>
        <w:t xml:space="preserve">berzeugung war. </w:t>
      </w:r>
    </w:p>
    <w:p>
      <w:pPr>
        <w:pStyle w:val="Normal.0"/>
      </w:pPr>
      <w:r>
        <w:rPr>
          <w:rtl w:val="0"/>
          <w:lang w:val="de-DE"/>
        </w:rPr>
        <w:t>Wie unter I. dargelegt, geht der EuGH in seiner Entscheidung vom 19.11.2020 im Hinblick auf den syrischen B</w:t>
      </w:r>
      <w:r>
        <w:rPr>
          <w:rtl w:val="0"/>
          <w:lang w:val="de-DE"/>
        </w:rPr>
        <w:t>ü</w:t>
      </w:r>
      <w:r>
        <w:rPr>
          <w:rtl w:val="0"/>
          <w:lang w:val="de-DE"/>
        </w:rPr>
        <w:t>rgerkrieg vom Vorliegen der Voraussetzungen des Art. 9 Abs. 2 Buchst. e der Anerkennungsrichtlinie aus. Er betont, dass im Kontext der im syrischen B</w:t>
      </w:r>
      <w:r>
        <w:rPr>
          <w:rtl w:val="0"/>
          <w:lang w:val="de-DE"/>
        </w:rPr>
        <w:t>ü</w:t>
      </w:r>
      <w:r>
        <w:rPr>
          <w:rtl w:val="0"/>
          <w:lang w:val="de-DE"/>
        </w:rPr>
        <w:t>rgerkrieg festzustellenden wiederholten und systematischen Begehung von Kriegsverbrechen durch die syrische Armee einschlie</w:t>
      </w:r>
      <w:r>
        <w:rPr>
          <w:rtl w:val="0"/>
          <w:lang w:val="de-DE"/>
        </w:rPr>
        <w:t>ß</w:t>
      </w:r>
      <w:r>
        <w:rPr>
          <w:rtl w:val="0"/>
          <w:lang w:val="de-DE"/>
        </w:rPr>
        <w:t>lich Einheiten, die aus Wehrpflichtigen bestehen, die Wahrscheinlichkeit sehr hoch erscheine, dass Wehrpflichtige unabh</w:t>
      </w:r>
      <w:r>
        <w:rPr>
          <w:rtl w:val="0"/>
          <w:lang w:val="de-DE"/>
        </w:rPr>
        <w:t>ä</w:t>
      </w:r>
      <w:r>
        <w:rPr>
          <w:rtl w:val="0"/>
          <w:lang w:val="de-DE"/>
        </w:rPr>
        <w:t>ngig von ihrem k</w:t>
      </w:r>
      <w:r>
        <w:rPr>
          <w:rtl w:val="0"/>
          <w:lang w:val="de-DE"/>
        </w:rPr>
        <w:t>ü</w:t>
      </w:r>
      <w:r>
        <w:rPr>
          <w:rtl w:val="0"/>
          <w:lang w:val="de-DE"/>
        </w:rPr>
        <w:t>nftigen Einsatzgebiet dazu veranlasst w</w:t>
      </w:r>
      <w:r>
        <w:rPr>
          <w:rtl w:val="0"/>
          <w:lang w:val="de-DE"/>
        </w:rPr>
        <w:t>ü</w:t>
      </w:r>
      <w:r>
        <w:rPr>
          <w:rtl w:val="0"/>
          <w:lang w:val="de-DE"/>
        </w:rPr>
        <w:t>rden, unmittelbar oder mittelbar an Verbrechen i.S.d. Art. 12 der Anerkennungsrichtlinie teilzunehmen (Rn. 37 f.). Mit dem Abstellen auf das k</w:t>
      </w:r>
      <w:r>
        <w:rPr>
          <w:rtl w:val="0"/>
          <w:lang w:val="de-DE"/>
        </w:rPr>
        <w:t>ü</w:t>
      </w:r>
      <w:r>
        <w:rPr>
          <w:rtl w:val="0"/>
          <w:lang w:val="de-DE"/>
        </w:rPr>
        <w:t>nftige Einsatzgebiet wird deutlich, dass die Gefahr bereits vor Einziehung zum Milit</w:t>
      </w:r>
      <w:r>
        <w:rPr>
          <w:rtl w:val="0"/>
          <w:lang w:val="de-DE"/>
        </w:rPr>
        <w:t>ä</w:t>
      </w:r>
      <w:r>
        <w:rPr>
          <w:rtl w:val="0"/>
          <w:lang w:val="de-DE"/>
        </w:rPr>
        <w:t>rdienst besteht und bereits ein drohender verpflichtender Milit</w:t>
      </w:r>
      <w:r>
        <w:rPr>
          <w:rtl w:val="0"/>
          <w:lang w:val="de-DE"/>
        </w:rPr>
        <w:t>ä</w:t>
      </w:r>
      <w:r>
        <w:rPr>
          <w:rtl w:val="0"/>
          <w:lang w:val="de-DE"/>
        </w:rPr>
        <w:t>rdienst ausreicht (ebenso Hruschka, Constantin: Am Schutz orientiert: Der EuGH zum Schutz bei Verweigerung des Milit</w:t>
      </w:r>
      <w:r>
        <w:rPr>
          <w:rtl w:val="0"/>
          <w:lang w:val="de-DE"/>
        </w:rPr>
        <w:t>ä</w:t>
      </w:r>
      <w:r>
        <w:rPr>
          <w:rtl w:val="0"/>
          <w:lang w:val="de-DE"/>
        </w:rPr>
        <w:t xml:space="preserve">rdienstes in Syrien, verfassungsblog.de). </w:t>
      </w:r>
    </w:p>
    <w:p>
      <w:pPr>
        <w:pStyle w:val="Normal.0"/>
      </w:pPr>
      <w:r>
        <w:rPr>
          <w:rtl w:val="0"/>
          <w:lang w:val="de-DE"/>
        </w:rPr>
        <w:t>Der EuGH stellt weiter in der Entscheidung auf die diesbez</w:t>
      </w:r>
      <w:r>
        <w:rPr>
          <w:rtl w:val="0"/>
          <w:lang w:val="de-DE"/>
        </w:rPr>
        <w:t>ü</w:t>
      </w:r>
      <w:r>
        <w:rPr>
          <w:rtl w:val="0"/>
          <w:lang w:val="de-DE"/>
        </w:rPr>
        <w:t xml:space="preserve">glichen Vorlagefragen fest, dass es in einer Situation, in welcher </w:t>
      </w:r>
      <w:r>
        <w:rPr>
          <w:rtl w:val="0"/>
          <w:lang w:val="de-DE"/>
        </w:rPr>
        <w:t xml:space="preserve">– </w:t>
      </w:r>
      <w:r>
        <w:rPr>
          <w:rtl w:val="0"/>
          <w:lang w:val="de-DE"/>
        </w:rPr>
        <w:t xml:space="preserve">wie in Syrien </w:t>
      </w:r>
      <w:r>
        <w:rPr>
          <w:rtl w:val="0"/>
          <w:lang w:val="de-DE"/>
        </w:rPr>
        <w:t xml:space="preserve">– </w:t>
      </w:r>
      <w:r>
        <w:rPr>
          <w:rtl w:val="0"/>
          <w:lang w:val="de-DE"/>
        </w:rPr>
        <w:t>die M</w:t>
      </w:r>
      <w:r>
        <w:rPr>
          <w:rtl w:val="0"/>
          <w:lang w:val="de-DE"/>
        </w:rPr>
        <w:t>ö</w:t>
      </w:r>
      <w:r>
        <w:rPr>
          <w:rtl w:val="0"/>
          <w:lang w:val="de-DE"/>
        </w:rPr>
        <w:t>glichkeit, den Kriegsdienst zu verweigern, nicht vorgesehen ist, sondern die Kriegsdienstverweigerung rechtswidrig und mit Strafverfolgung bedroht ist, von dem Kriegsdienstverweigerer nicht verlangt werden darf, dass er seine Verweigerung in einem bestimmten Verfahren formalisiert oder sie gegen</w:t>
      </w:r>
      <w:r>
        <w:rPr>
          <w:rtl w:val="0"/>
          <w:lang w:val="de-DE"/>
        </w:rPr>
        <w:t>ü</w:t>
      </w:r>
      <w:r>
        <w:rPr>
          <w:rtl w:val="0"/>
          <w:lang w:val="de-DE"/>
        </w:rPr>
        <w:t>ber der Milit</w:t>
      </w:r>
      <w:r>
        <w:rPr>
          <w:rtl w:val="0"/>
          <w:lang w:val="de-DE"/>
        </w:rPr>
        <w:t>ä</w:t>
      </w:r>
      <w:r>
        <w:rPr>
          <w:rtl w:val="0"/>
          <w:lang w:val="de-DE"/>
        </w:rPr>
        <w:t xml:space="preserve">rverwaltung zum Ausdruck gebracht hat (Rn. 29 ff.). </w:t>
      </w:r>
    </w:p>
    <w:p>
      <w:pPr>
        <w:pStyle w:val="Normal.0"/>
      </w:pPr>
      <w:r>
        <w:rPr>
          <w:rtl w:val="0"/>
          <w:lang w:val="de-DE"/>
        </w:rPr>
        <w:t>Eben dies hatte indessen das Bundesamt zum Nachweis des erforderlichen Kausalzusammenhangs f</w:t>
      </w:r>
      <w:r>
        <w:rPr>
          <w:rtl w:val="0"/>
          <w:lang w:val="de-DE"/>
        </w:rPr>
        <w:t>ü</w:t>
      </w:r>
      <w:r>
        <w:rPr>
          <w:rtl w:val="0"/>
          <w:lang w:val="de-DE"/>
        </w:rPr>
        <w:t>r eine Kriegsdienstverweigerung aus Gewissensgr</w:t>
      </w:r>
      <w:r>
        <w:rPr>
          <w:rtl w:val="0"/>
          <w:lang w:val="de-DE"/>
        </w:rPr>
        <w:t>ü</w:t>
      </w:r>
      <w:r>
        <w:rPr>
          <w:rtl w:val="0"/>
          <w:lang w:val="de-DE"/>
        </w:rPr>
        <w:t>nden verlangt (Rn. 54 der Schlussantr</w:t>
      </w:r>
      <w:r>
        <w:rPr>
          <w:rtl w:val="0"/>
          <w:lang w:val="de-DE"/>
        </w:rPr>
        <w:t>ä</w:t>
      </w:r>
      <w:r>
        <w:rPr>
          <w:rtl w:val="0"/>
          <w:lang w:val="de-DE"/>
        </w:rPr>
        <w:t>ge der Generalanw</w:t>
      </w:r>
      <w:r>
        <w:rPr>
          <w:rtl w:val="0"/>
          <w:lang w:val="de-DE"/>
        </w:rPr>
        <w:t>ä</w:t>
      </w:r>
      <w:r>
        <w:rPr>
          <w:rtl w:val="0"/>
          <w:lang w:val="de-DE"/>
        </w:rPr>
        <w:t xml:space="preserve">ltin Sharpston vom 28.05.2020; vgl. auch Entscheiderbrief 1/2020, S. 8).  </w:t>
      </w:r>
    </w:p>
    <w:p>
      <w:pPr>
        <w:pStyle w:val="Normal.0"/>
      </w:pPr>
      <w:r>
        <w:rPr>
          <w:rtl w:val="0"/>
          <w:lang w:val="de-DE"/>
        </w:rPr>
        <w:t>Die notwendige Kausalit</w:t>
      </w:r>
      <w:r>
        <w:rPr>
          <w:rtl w:val="0"/>
          <w:lang w:val="de-DE"/>
        </w:rPr>
        <w:t>ä</w:t>
      </w:r>
      <w:r>
        <w:rPr>
          <w:rtl w:val="0"/>
          <w:lang w:val="de-DE"/>
        </w:rPr>
        <w:t xml:space="preserve">t zwischen der drohenden Verfolgungshandlung </w:t>
      </w:r>
      <w:r>
        <w:rPr>
          <w:rtl w:val="0"/>
          <w:lang w:val="de-DE"/>
        </w:rPr>
        <w:t xml:space="preserve">– </w:t>
      </w:r>
      <w:r>
        <w:rPr>
          <w:rtl w:val="0"/>
          <w:lang w:val="de-DE"/>
        </w:rPr>
        <w:t>die Strafverfolgung oder Bestrafung wegen der Verweigerung des Milit</w:t>
      </w:r>
      <w:r>
        <w:rPr>
          <w:rtl w:val="0"/>
          <w:lang w:val="de-DE"/>
        </w:rPr>
        <w:t>ä</w:t>
      </w:r>
      <w:r>
        <w:rPr>
          <w:rtl w:val="0"/>
          <w:lang w:val="de-DE"/>
        </w:rPr>
        <w:t xml:space="preserve">rdienstes i.S.d. Art. 9 Abs. 2 Buchst. e) der Richtlinie (= Anerkennungsrichtlinie) </w:t>
      </w:r>
      <w:r>
        <w:rPr>
          <w:rtl w:val="0"/>
          <w:lang w:val="de-DE"/>
        </w:rPr>
        <w:t xml:space="preserve">– </w:t>
      </w:r>
      <w:r>
        <w:rPr>
          <w:rtl w:val="0"/>
          <w:lang w:val="de-DE"/>
        </w:rPr>
        <w:t>und einem Verfolgungsgrund wie bspw. einer politischen oder religi</w:t>
      </w:r>
      <w:r>
        <w:rPr>
          <w:rtl w:val="0"/>
          <w:lang w:val="de-DE"/>
        </w:rPr>
        <w:t>ö</w:t>
      </w:r>
      <w:r>
        <w:rPr>
          <w:rtl w:val="0"/>
          <w:lang w:val="de-DE"/>
        </w:rPr>
        <w:t xml:space="preserve">sen </w:t>
      </w:r>
      <w:r>
        <w:rPr>
          <w:rtl w:val="0"/>
          <w:lang w:val="de-DE"/>
        </w:rPr>
        <w:t>Ü</w:t>
      </w:r>
      <w:r>
        <w:rPr>
          <w:rtl w:val="0"/>
          <w:lang w:val="de-DE"/>
        </w:rPr>
        <w:t>berzeugung oder der Zugeh</w:t>
      </w:r>
      <w:r>
        <w:rPr>
          <w:rtl w:val="0"/>
          <w:lang w:val="de-DE"/>
        </w:rPr>
        <w:t>ö</w:t>
      </w:r>
      <w:r>
        <w:rPr>
          <w:rtl w:val="0"/>
          <w:lang w:val="de-DE"/>
        </w:rPr>
        <w:t xml:space="preserve">rigkeit zu einer sozialen Gruppe muss, wie unter I. dargestellt, zwar dargelegt, aber nicht bewiesen werden. Es besteht vielmehr </w:t>
      </w:r>
      <w:r>
        <w:rPr>
          <w:rtl w:val="0"/>
          <w:lang w:val="de-DE"/>
        </w:rPr>
        <w:t xml:space="preserve">– </w:t>
      </w:r>
      <w:r>
        <w:rPr>
          <w:rtl w:val="0"/>
          <w:lang w:val="de-DE"/>
        </w:rPr>
        <w:t xml:space="preserve">wenn wie hier die Voraussetzungen des Art. 9 Abs. 2 Buchst. e) der Anerkennungsrichtlinie vorliegen </w:t>
      </w:r>
      <w:r>
        <w:rPr>
          <w:rtl w:val="0"/>
          <w:lang w:val="de-DE"/>
        </w:rPr>
        <w:t xml:space="preserve">– </w:t>
      </w:r>
      <w:r>
        <w:rPr>
          <w:rtl w:val="0"/>
          <w:lang w:val="de-DE"/>
        </w:rPr>
        <w:t>eine diesbez</w:t>
      </w:r>
      <w:r>
        <w:rPr>
          <w:rtl w:val="0"/>
          <w:lang w:val="de-DE"/>
        </w:rPr>
        <w:t>ü</w:t>
      </w:r>
      <w:r>
        <w:rPr>
          <w:rtl w:val="0"/>
          <w:lang w:val="de-DE"/>
        </w:rPr>
        <w:t xml:space="preserve">gliche gesetzliche Vermutung. </w:t>
      </w:r>
    </w:p>
    <w:p>
      <w:pPr>
        <w:pStyle w:val="Normal.0"/>
      </w:pPr>
      <w:r>
        <w:rPr>
          <w:rtl w:val="0"/>
          <w:lang w:val="de-DE"/>
        </w:rPr>
        <w:t>Dar</w:t>
      </w:r>
      <w:r>
        <w:rPr>
          <w:rtl w:val="0"/>
          <w:lang w:val="de-DE"/>
        </w:rPr>
        <w:t>ü</w:t>
      </w:r>
      <w:r>
        <w:rPr>
          <w:rtl w:val="0"/>
          <w:lang w:val="de-DE"/>
        </w:rPr>
        <w:t xml:space="preserve">ber hinaus lenkt der EuGH den Blick auch auf Art. 10 Abs. 2 der Anerkennungsrichtlinie, dem </w:t>
      </w:r>
      <w:r>
        <w:rPr>
          <w:rtl w:val="0"/>
          <w:lang w:val="de-DE"/>
        </w:rPr>
        <w:t xml:space="preserve">§ </w:t>
      </w:r>
      <w:r>
        <w:rPr>
          <w:rtl w:val="0"/>
          <w:lang w:val="de-DE"/>
        </w:rPr>
        <w:t>3 b) Abs. 2 AsylG nachgebildet ist und der bestimmt, dass es bei der Bewertung der Frage, ob die Furcht des Antragstellers vor Verfolgung begr</w:t>
      </w:r>
      <w:r>
        <w:rPr>
          <w:rtl w:val="0"/>
          <w:lang w:val="de-DE"/>
        </w:rPr>
        <w:t>ü</w:t>
      </w:r>
      <w:r>
        <w:rPr>
          <w:rtl w:val="0"/>
          <w:lang w:val="de-DE"/>
        </w:rPr>
        <w:t>ndet ist, unerheblich ist, ob der Antragsteller tats</w:t>
      </w:r>
      <w:r>
        <w:rPr>
          <w:rtl w:val="0"/>
          <w:lang w:val="de-DE"/>
        </w:rPr>
        <w:t>ä</w:t>
      </w:r>
      <w:r>
        <w:rPr>
          <w:rtl w:val="0"/>
          <w:lang w:val="de-DE"/>
        </w:rPr>
        <w:t>chlich die Merkmale der Rasse oder die religi</w:t>
      </w:r>
      <w:r>
        <w:rPr>
          <w:rtl w:val="0"/>
          <w:lang w:val="de-DE"/>
        </w:rPr>
        <w:t>ö</w:t>
      </w:r>
      <w:r>
        <w:rPr>
          <w:rtl w:val="0"/>
          <w:lang w:val="de-DE"/>
        </w:rPr>
        <w:t>sen, nationalen, sozialen oder politischen Merkmale aufweist, die zur Verfolgung f</w:t>
      </w:r>
      <w:r>
        <w:rPr>
          <w:rtl w:val="0"/>
          <w:lang w:val="de-DE"/>
        </w:rPr>
        <w:t>ü</w:t>
      </w:r>
      <w:r>
        <w:rPr>
          <w:rtl w:val="0"/>
          <w:lang w:val="de-DE"/>
        </w:rPr>
        <w:t xml:space="preserve">hren, sofern ihm diese Merkmale von seinem Verfolger zugeschrieben werden. </w:t>
      </w:r>
    </w:p>
    <w:p>
      <w:pPr>
        <w:pStyle w:val="Normal.0"/>
      </w:pPr>
      <w:r>
        <w:rPr>
          <w:rtl w:val="0"/>
          <w:lang w:val="de-DE"/>
        </w:rPr>
        <w:t xml:space="preserve">Der EuGH betont in diesem Kontext (Rn. 60), es bestehe </w:t>
      </w:r>
    </w:p>
    <w:p>
      <w:pPr>
        <w:pStyle w:val="Normal.0"/>
        <w:rPr>
          <w:i w:val="1"/>
          <w:iCs w:val="1"/>
        </w:rPr>
      </w:pPr>
      <w:r>
        <w:rPr>
          <w:i w:val="1"/>
          <w:iCs w:val="1"/>
          <w:rtl w:val="0"/>
          <w:lang w:val="de-DE"/>
        </w:rPr>
        <w:t>„</w:t>
      </w:r>
      <w:r>
        <w:rPr>
          <w:i w:val="1"/>
          <w:iCs w:val="1"/>
          <w:rtl w:val="0"/>
          <w:lang w:val="de-DE"/>
        </w:rPr>
        <w:t>in einem bewaffneten Konflikt, insbesondere in einem B</w:t>
      </w:r>
      <w:r>
        <w:rPr>
          <w:i w:val="1"/>
          <w:iCs w:val="1"/>
          <w:rtl w:val="0"/>
          <w:lang w:val="de-DE"/>
        </w:rPr>
        <w:t>ü</w:t>
      </w:r>
      <w:r>
        <w:rPr>
          <w:i w:val="1"/>
          <w:iCs w:val="1"/>
          <w:rtl w:val="0"/>
          <w:lang w:val="de-DE"/>
        </w:rPr>
        <w:t>rgerkrieg und bei fehlender legaler M</w:t>
      </w:r>
      <w:r>
        <w:rPr>
          <w:i w:val="1"/>
          <w:iCs w:val="1"/>
          <w:rtl w:val="0"/>
          <w:lang w:val="de-DE"/>
        </w:rPr>
        <w:t>ö</w:t>
      </w:r>
      <w:r>
        <w:rPr>
          <w:i w:val="1"/>
          <w:iCs w:val="1"/>
          <w:rtl w:val="0"/>
          <w:lang w:val="de-DE"/>
        </w:rPr>
        <w:t>glichkeit, sich seinen milit</w:t>
      </w:r>
      <w:r>
        <w:rPr>
          <w:i w:val="1"/>
          <w:iCs w:val="1"/>
          <w:rtl w:val="0"/>
          <w:lang w:val="de-DE"/>
        </w:rPr>
        <w:t>ä</w:t>
      </w:r>
      <w:r>
        <w:rPr>
          <w:i w:val="1"/>
          <w:iCs w:val="1"/>
          <w:rtl w:val="0"/>
          <w:lang w:val="de-DE"/>
        </w:rPr>
        <w:t>rischen Pflichten zu entziehen, die hohe Wahrscheinlichkeit, dass die Verweigerung des Milit</w:t>
      </w:r>
      <w:r>
        <w:rPr>
          <w:i w:val="1"/>
          <w:iCs w:val="1"/>
          <w:rtl w:val="0"/>
          <w:lang w:val="de-DE"/>
        </w:rPr>
        <w:t>ä</w:t>
      </w:r>
      <w:r>
        <w:rPr>
          <w:i w:val="1"/>
          <w:iCs w:val="1"/>
          <w:rtl w:val="0"/>
          <w:lang w:val="de-DE"/>
        </w:rPr>
        <w:t>rdienstes von den Beh</w:t>
      </w:r>
      <w:r>
        <w:rPr>
          <w:i w:val="1"/>
          <w:iCs w:val="1"/>
          <w:rtl w:val="0"/>
          <w:lang w:val="de-DE"/>
        </w:rPr>
        <w:t>ö</w:t>
      </w:r>
      <w:r>
        <w:rPr>
          <w:i w:val="1"/>
          <w:iCs w:val="1"/>
          <w:rtl w:val="0"/>
          <w:lang w:val="de-DE"/>
        </w:rPr>
        <w:t>rden unabh</w:t>
      </w:r>
      <w:r>
        <w:rPr>
          <w:i w:val="1"/>
          <w:iCs w:val="1"/>
          <w:rtl w:val="0"/>
          <w:lang w:val="de-DE"/>
        </w:rPr>
        <w:t>ä</w:t>
      </w:r>
      <w:r>
        <w:rPr>
          <w:i w:val="1"/>
          <w:iCs w:val="1"/>
          <w:rtl w:val="0"/>
          <w:lang w:val="de-DE"/>
        </w:rPr>
        <w:t>ngig von den pers</w:t>
      </w:r>
      <w:r>
        <w:rPr>
          <w:i w:val="1"/>
          <w:iCs w:val="1"/>
          <w:rtl w:val="0"/>
          <w:lang w:val="de-DE"/>
        </w:rPr>
        <w:t>ö</w:t>
      </w:r>
      <w:r>
        <w:rPr>
          <w:i w:val="1"/>
          <w:iCs w:val="1"/>
          <w:rtl w:val="0"/>
          <w:lang w:val="de-DE"/>
        </w:rPr>
        <w:t>nlichen, eventuell viel komplexeren Gr</w:t>
      </w:r>
      <w:r>
        <w:rPr>
          <w:i w:val="1"/>
          <w:iCs w:val="1"/>
          <w:rtl w:val="0"/>
          <w:lang w:val="de-DE"/>
        </w:rPr>
        <w:t>ü</w:t>
      </w:r>
      <w:r>
        <w:rPr>
          <w:i w:val="1"/>
          <w:iCs w:val="1"/>
          <w:rtl w:val="0"/>
          <w:lang w:val="de-DE"/>
        </w:rPr>
        <w:t>nden des Betroffenen als ein Akt politischer Opposition ausgelegt wird</w:t>
      </w:r>
      <w:r>
        <w:rPr>
          <w:i w:val="1"/>
          <w:iCs w:val="1"/>
          <w:rtl w:val="0"/>
          <w:lang w:val="de-DE"/>
        </w:rPr>
        <w:t>“</w:t>
      </w:r>
      <w:r>
        <w:rPr>
          <w:i w:val="1"/>
          <w:iCs w:val="1"/>
          <w:rtl w:val="0"/>
          <w:lang w:val="de-DE"/>
        </w:rPr>
        <w:t>.</w:t>
      </w:r>
    </w:p>
    <w:p>
      <w:pPr>
        <w:pStyle w:val="Normal.0"/>
      </w:pPr>
      <w:r>
        <w:rPr>
          <w:rtl w:val="0"/>
          <w:lang w:val="de-DE"/>
        </w:rPr>
        <w:t>Es reicht ergo im Ergebnis sogar aus, dass dem Betroffenen eine Regimegegnerschaft als Motiv f</w:t>
      </w:r>
      <w:r>
        <w:rPr>
          <w:rtl w:val="0"/>
          <w:lang w:val="de-DE"/>
        </w:rPr>
        <w:t>ü</w:t>
      </w:r>
      <w:r>
        <w:rPr>
          <w:rtl w:val="0"/>
          <w:lang w:val="de-DE"/>
        </w:rPr>
        <w:t>r die Kriegsdienstverweigerung  von seinem Verfolger zugeschrieben wird, wobei dies von Seiten des EuGH in der Situation des syrischen B</w:t>
      </w:r>
      <w:r>
        <w:rPr>
          <w:rtl w:val="0"/>
          <w:lang w:val="de-DE"/>
        </w:rPr>
        <w:t>ü</w:t>
      </w:r>
      <w:r>
        <w:rPr>
          <w:rtl w:val="0"/>
          <w:lang w:val="de-DE"/>
        </w:rPr>
        <w:t>rgerkrieges zugleich als hochwahrscheinlich erachtet wird.</w:t>
      </w:r>
    </w:p>
    <w:p>
      <w:pPr>
        <w:pStyle w:val="Normal.0"/>
      </w:pPr>
      <w:r>
        <w:rPr>
          <w:b w:val="1"/>
          <w:bCs w:val="1"/>
          <w:rtl w:val="0"/>
          <w:lang w:val="de-DE"/>
        </w:rPr>
        <w:t>Variante 1 [nicht zutreffende Variante l</w:t>
      </w:r>
      <w:r>
        <w:rPr>
          <w:b w:val="1"/>
          <w:bCs w:val="1"/>
          <w:rtl w:val="0"/>
          <w:lang w:val="de-DE"/>
        </w:rPr>
        <w:t>ö</w:t>
      </w:r>
      <w:r>
        <w:rPr>
          <w:b w:val="1"/>
          <w:bCs w:val="1"/>
          <w:rtl w:val="0"/>
          <w:lang w:val="de-DE"/>
        </w:rPr>
        <w:t>schen]:</w:t>
      </w:r>
      <w:r>
        <w:rPr>
          <w:rtl w:val="0"/>
          <w:lang w:val="de-DE"/>
        </w:rPr>
        <w:t xml:space="preserve"> F</w:t>
      </w:r>
      <w:r>
        <w:rPr>
          <w:rtl w:val="0"/>
          <w:lang w:val="de-DE"/>
        </w:rPr>
        <w:t>ü</w:t>
      </w:r>
      <w:r>
        <w:rPr>
          <w:rtl w:val="0"/>
          <w:lang w:val="de-DE"/>
        </w:rPr>
        <w:t>r den Fall der Darlegung einer Verkn</w:t>
      </w:r>
      <w:r>
        <w:rPr>
          <w:rtl w:val="0"/>
          <w:lang w:val="de-DE"/>
        </w:rPr>
        <w:t>ü</w:t>
      </w:r>
      <w:r>
        <w:rPr>
          <w:rtl w:val="0"/>
          <w:lang w:val="de-DE"/>
        </w:rPr>
        <w:t>pfung zwischen Kriegsdienstverweigerung und einem Verfolgungsgrund bereits im urspr</w:t>
      </w:r>
      <w:r>
        <w:rPr>
          <w:rtl w:val="0"/>
          <w:lang w:val="de-DE"/>
        </w:rPr>
        <w:t>ü</w:t>
      </w:r>
      <w:r>
        <w:rPr>
          <w:rtl w:val="0"/>
          <w:lang w:val="de-DE"/>
        </w:rPr>
        <w:t xml:space="preserve">nglichen Asylverfahren: </w:t>
      </w:r>
    </w:p>
    <w:p>
      <w:pPr>
        <w:pStyle w:val="Normal.0"/>
      </w:pPr>
      <w:r>
        <w:rPr>
          <w:rtl w:val="0"/>
          <w:lang w:val="de-DE"/>
        </w:rPr>
        <w:t xml:space="preserve">Der Antragsteller hat bereits in seinem ersten Asylverfahren dargelegt, dass er den Kriegsdienst aus </w:t>
      </w:r>
      <w:r>
        <w:rPr>
          <w:outline w:val="0"/>
          <w:color w:val="4f81bd"/>
          <w:u w:color="4f81bd"/>
          <w:rtl w:val="0"/>
          <w:lang w:val="de-DE"/>
          <w14:textFill>
            <w14:solidFill>
              <w14:srgbClr w14:val="4F81BD"/>
            </w14:solidFill>
          </w14:textFill>
        </w:rPr>
        <w:t>religi</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 xml:space="preserve">sen / politischen </w:t>
      </w:r>
      <w:r>
        <w:rPr>
          <w:rtl w:val="0"/>
          <w:lang w:val="de-DE"/>
        </w:rPr>
        <w:t>Gr</w:t>
      </w:r>
      <w:r>
        <w:rPr>
          <w:rtl w:val="0"/>
          <w:lang w:val="de-DE"/>
        </w:rPr>
        <w:t>ü</w:t>
      </w:r>
      <w:r>
        <w:rPr>
          <w:rtl w:val="0"/>
          <w:lang w:val="de-DE"/>
        </w:rPr>
        <w:t>nden verweigert hat.</w:t>
      </w:r>
    </w:p>
    <w:p>
      <w:pPr>
        <w:pStyle w:val="Normal.0"/>
        <w:rPr>
          <w:outline w:val="0"/>
          <w:color w:val="4f81bd"/>
          <w:u w:color="4f81bd"/>
          <w14:textFill>
            <w14:solidFill>
              <w14:srgbClr w14:val="4F81BD"/>
            </w14:solidFill>
          </w14:textFill>
        </w:rPr>
      </w:pPr>
      <w:r>
        <w:rPr>
          <w:outline w:val="0"/>
          <w:color w:val="4f81bd"/>
          <w:u w:color="4f81bd"/>
          <w:rtl w:val="0"/>
          <w:lang w:val="de-DE"/>
          <w14:textFill>
            <w14:solidFill>
              <w14:srgbClr w14:val="4F81BD"/>
            </w14:solidFill>
          </w14:textFill>
        </w:rPr>
        <w:t>[Hier Hinweise auf die entscheidenden Stellen des Anh</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rungsprotokolls  einf</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gen, aus denen sich ergibt, dass der Kriegsdienst aus religi</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sen oder / und politischen Gr</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nden verweigert wurde]</w:t>
      </w:r>
    </w:p>
    <w:p>
      <w:pPr>
        <w:pStyle w:val="Normal.0"/>
      </w:pPr>
      <w:r>
        <w:rPr>
          <w:b w:val="1"/>
          <w:bCs w:val="1"/>
          <w:rtl w:val="0"/>
          <w:lang w:val="de-DE"/>
        </w:rPr>
        <w:t>Variante 2 [nicht zutreffende Variante l</w:t>
      </w:r>
      <w:r>
        <w:rPr>
          <w:b w:val="1"/>
          <w:bCs w:val="1"/>
          <w:rtl w:val="0"/>
          <w:lang w:val="de-DE"/>
        </w:rPr>
        <w:t>ö</w:t>
      </w:r>
      <w:r>
        <w:rPr>
          <w:b w:val="1"/>
          <w:bCs w:val="1"/>
          <w:rtl w:val="0"/>
          <w:lang w:val="de-DE"/>
        </w:rPr>
        <w:t>schen]:</w:t>
      </w:r>
      <w:r>
        <w:rPr>
          <w:rtl w:val="0"/>
          <w:lang w:val="de-DE"/>
        </w:rPr>
        <w:t xml:space="preserve"> F</w:t>
      </w:r>
      <w:r>
        <w:rPr>
          <w:rtl w:val="0"/>
          <w:lang w:val="de-DE"/>
        </w:rPr>
        <w:t>ü</w:t>
      </w:r>
      <w:r>
        <w:rPr>
          <w:rtl w:val="0"/>
          <w:lang w:val="de-DE"/>
        </w:rPr>
        <w:t>r den Fall, dass der Antragsteller in seinem ersten Asylverfahren nicht nach seinen Beweggr</w:t>
      </w:r>
      <w:r>
        <w:rPr>
          <w:rtl w:val="0"/>
          <w:lang w:val="de-DE"/>
        </w:rPr>
        <w:t>ü</w:t>
      </w:r>
      <w:r>
        <w:rPr>
          <w:rtl w:val="0"/>
          <w:lang w:val="de-DE"/>
        </w:rPr>
        <w:t>nden f</w:t>
      </w:r>
      <w:r>
        <w:rPr>
          <w:rtl w:val="0"/>
          <w:lang w:val="de-DE"/>
        </w:rPr>
        <w:t>ü</w:t>
      </w:r>
      <w:r>
        <w:rPr>
          <w:rtl w:val="0"/>
          <w:lang w:val="de-DE"/>
        </w:rPr>
        <w:t>r die Verweigerung des Milit</w:t>
      </w:r>
      <w:r>
        <w:rPr>
          <w:rtl w:val="0"/>
          <w:lang w:val="de-DE"/>
        </w:rPr>
        <w:t>ä</w:t>
      </w:r>
      <w:r>
        <w:rPr>
          <w:rtl w:val="0"/>
          <w:lang w:val="de-DE"/>
        </w:rPr>
        <w:t>rdienstes gefragt wurde bzw. keine Gelegenheit erhielt, diese darzulegen:</w:t>
      </w:r>
    </w:p>
    <w:p>
      <w:pPr>
        <w:pStyle w:val="Normal.0"/>
      </w:pPr>
      <w:r>
        <w:rPr>
          <w:rtl w:val="0"/>
          <w:lang w:val="de-DE"/>
        </w:rPr>
        <w:t>In seinem urspr</w:t>
      </w:r>
      <w:r>
        <w:rPr>
          <w:rtl w:val="0"/>
          <w:lang w:val="de-DE"/>
        </w:rPr>
        <w:t>ü</w:t>
      </w:r>
      <w:r>
        <w:rPr>
          <w:rtl w:val="0"/>
          <w:lang w:val="de-DE"/>
        </w:rPr>
        <w:t>nglichen Asylverfahren wurde der Antragsteller nicht nach seinen Beweggr</w:t>
      </w:r>
      <w:r>
        <w:rPr>
          <w:rtl w:val="0"/>
          <w:lang w:val="de-DE"/>
        </w:rPr>
        <w:t>ü</w:t>
      </w:r>
      <w:r>
        <w:rPr>
          <w:rtl w:val="0"/>
          <w:lang w:val="de-DE"/>
        </w:rPr>
        <w:t>nden f</w:t>
      </w:r>
      <w:r>
        <w:rPr>
          <w:rtl w:val="0"/>
          <w:lang w:val="de-DE"/>
        </w:rPr>
        <w:t>ü</w:t>
      </w:r>
      <w:r>
        <w:rPr>
          <w:rtl w:val="0"/>
          <w:lang w:val="de-DE"/>
        </w:rPr>
        <w:t>r die Verweigerung des Milit</w:t>
      </w:r>
      <w:r>
        <w:rPr>
          <w:rtl w:val="0"/>
          <w:lang w:val="de-DE"/>
        </w:rPr>
        <w:t>ä</w:t>
      </w:r>
      <w:r>
        <w:rPr>
          <w:rtl w:val="0"/>
          <w:lang w:val="de-DE"/>
        </w:rPr>
        <w:t>rdienstes gefragt / wurde dem Antragsteller keine Gelegenheit gegeben, seine Beweggr</w:t>
      </w:r>
      <w:r>
        <w:rPr>
          <w:rtl w:val="0"/>
          <w:lang w:val="de-DE"/>
        </w:rPr>
        <w:t>ü</w:t>
      </w:r>
      <w:r>
        <w:rPr>
          <w:rtl w:val="0"/>
          <w:lang w:val="de-DE"/>
        </w:rPr>
        <w:t>nde f</w:t>
      </w:r>
      <w:r>
        <w:rPr>
          <w:rtl w:val="0"/>
          <w:lang w:val="de-DE"/>
        </w:rPr>
        <w:t>ü</w:t>
      </w:r>
      <w:r>
        <w:rPr>
          <w:rtl w:val="0"/>
          <w:lang w:val="de-DE"/>
        </w:rPr>
        <w:t>r die Verweigerung des Milit</w:t>
      </w:r>
      <w:r>
        <w:rPr>
          <w:rtl w:val="0"/>
          <w:lang w:val="de-DE"/>
        </w:rPr>
        <w:t>ä</w:t>
      </w:r>
      <w:r>
        <w:rPr>
          <w:rtl w:val="0"/>
          <w:lang w:val="de-DE"/>
        </w:rPr>
        <w:t xml:space="preserve">rdienstes darzulegen. </w:t>
      </w:r>
    </w:p>
    <w:p>
      <w:pPr>
        <w:pStyle w:val="Normal.0"/>
        <w:rPr>
          <w:outline w:val="0"/>
          <w:color w:val="4f81bd"/>
          <w:u w:color="4f81bd"/>
          <w14:textFill>
            <w14:solidFill>
              <w14:srgbClr w14:val="4F81BD"/>
            </w14:solidFill>
          </w14:textFill>
        </w:rPr>
      </w:pPr>
      <w:r>
        <w:rPr>
          <w:outline w:val="0"/>
          <w:color w:val="4f81bd"/>
          <w:u w:color="4f81bd"/>
          <w:rtl w:val="0"/>
          <w:lang w:val="de-DE"/>
          <w14:textFill>
            <w14:solidFill>
              <w14:srgbClr w14:val="4F81BD"/>
            </w14:solidFill>
          </w14:textFill>
        </w:rPr>
        <w:t>[Hier Ausf</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hrungen dazu einf</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gen, dass der Kriegsdienst aus religi</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sen oder / und politischen Gr</w:t>
      </w:r>
      <w:r>
        <w:rPr>
          <w:outline w:val="0"/>
          <w:color w:val="4f81bd"/>
          <w:u w:color="4f81bd"/>
          <w:rtl w:val="0"/>
          <w:lang w:val="de-DE"/>
          <w14:textFill>
            <w14:solidFill>
              <w14:srgbClr w14:val="4F81BD"/>
            </w14:solidFill>
          </w14:textFill>
        </w:rPr>
        <w:t>ü</w:t>
      </w:r>
      <w:r>
        <w:rPr>
          <w:outline w:val="0"/>
          <w:color w:val="4f81bd"/>
          <w:u w:color="4f81bd"/>
          <w:rtl w:val="0"/>
          <w:lang w:val="de-DE"/>
          <w14:textFill>
            <w14:solidFill>
              <w14:srgbClr w14:val="4F81BD"/>
            </w14:solidFill>
          </w14:textFill>
        </w:rPr>
        <w:t>nden verweigert wurde]</w:t>
      </w:r>
    </w:p>
    <w:p>
      <w:pPr>
        <w:pStyle w:val="Normal.0"/>
      </w:pPr>
      <w:r>
        <w:rPr>
          <w:rtl w:val="0"/>
          <w:lang w:val="de-DE"/>
        </w:rPr>
        <w:t xml:space="preserve">Nach dem Vorstehenden ist plausibel dargetan, dass die Kriegsdienstverweigerung aus </w:t>
      </w:r>
      <w:r>
        <w:rPr>
          <w:outline w:val="0"/>
          <w:color w:val="4f81bd"/>
          <w:u w:color="4f81bd"/>
          <w:rtl w:val="0"/>
          <w:lang w:val="de-DE"/>
          <w14:textFill>
            <w14:solidFill>
              <w14:srgbClr w14:val="4F81BD"/>
            </w14:solidFill>
          </w14:textFill>
        </w:rPr>
        <w:t>politischen / religi</w:t>
      </w:r>
      <w:r>
        <w:rPr>
          <w:outline w:val="0"/>
          <w:color w:val="4f81bd"/>
          <w:u w:color="4f81bd"/>
          <w:rtl w:val="0"/>
          <w:lang w:val="de-DE"/>
          <w14:textFill>
            <w14:solidFill>
              <w14:srgbClr w14:val="4F81BD"/>
            </w14:solidFill>
          </w14:textFill>
        </w:rPr>
        <w:t>ö</w:t>
      </w:r>
      <w:r>
        <w:rPr>
          <w:outline w:val="0"/>
          <w:color w:val="4f81bd"/>
          <w:u w:color="4f81bd"/>
          <w:rtl w:val="0"/>
          <w:lang w:val="de-DE"/>
          <w14:textFill>
            <w14:solidFill>
              <w14:srgbClr w14:val="4F81BD"/>
            </w14:solidFill>
          </w14:textFill>
        </w:rPr>
        <w:t>sen</w:t>
      </w:r>
      <w:r>
        <w:rPr>
          <w:rtl w:val="0"/>
          <w:lang w:val="de-DE"/>
        </w:rPr>
        <w:t xml:space="preserve"> Gr</w:t>
      </w:r>
      <w:r>
        <w:rPr>
          <w:rtl w:val="0"/>
          <w:lang w:val="de-DE"/>
        </w:rPr>
        <w:t>ü</w:t>
      </w:r>
      <w:r>
        <w:rPr>
          <w:rtl w:val="0"/>
          <w:lang w:val="de-DE"/>
        </w:rPr>
        <w:t>nden erfolgt ist. Mithin ist nach den seitens des EuGH aufgestellten Ma</w:t>
      </w:r>
      <w:r>
        <w:rPr>
          <w:rtl w:val="0"/>
          <w:lang w:val="de-DE"/>
        </w:rPr>
        <w:t>ß</w:t>
      </w:r>
      <w:r>
        <w:rPr>
          <w:rtl w:val="0"/>
          <w:lang w:val="de-DE"/>
        </w:rPr>
        <w:t>st</w:t>
      </w:r>
      <w:r>
        <w:rPr>
          <w:rtl w:val="0"/>
          <w:lang w:val="de-DE"/>
        </w:rPr>
        <w:t>ä</w:t>
      </w:r>
      <w:r>
        <w:rPr>
          <w:rtl w:val="0"/>
          <w:lang w:val="de-DE"/>
        </w:rPr>
        <w:t>ben f</w:t>
      </w:r>
      <w:r>
        <w:rPr>
          <w:rtl w:val="0"/>
          <w:lang w:val="de-DE"/>
        </w:rPr>
        <w:t>ü</w:t>
      </w:r>
      <w:r>
        <w:rPr>
          <w:rtl w:val="0"/>
          <w:lang w:val="de-DE"/>
        </w:rPr>
        <w:t>r die diesbez</w:t>
      </w:r>
      <w:r>
        <w:rPr>
          <w:rtl w:val="0"/>
          <w:lang w:val="de-DE"/>
        </w:rPr>
        <w:t>ü</w:t>
      </w:r>
      <w:r>
        <w:rPr>
          <w:rtl w:val="0"/>
          <w:lang w:val="de-DE"/>
        </w:rPr>
        <w:t>gliche Darlegung die Fl</w:t>
      </w:r>
      <w:r>
        <w:rPr>
          <w:rtl w:val="0"/>
          <w:lang w:val="de-DE"/>
        </w:rPr>
        <w:t>ü</w:t>
      </w:r>
      <w:r>
        <w:rPr>
          <w:rtl w:val="0"/>
          <w:lang w:val="de-DE"/>
        </w:rPr>
        <w:t>chtlingseigenschaft zuzuerkennen.</w:t>
      </w:r>
    </w:p>
    <w:p>
      <w:pPr>
        <w:pStyle w:val="Normal.0"/>
      </w:pPr>
      <w:r>
        <w:rPr>
          <w:rtl w:val="0"/>
          <w:lang w:val="de-DE"/>
        </w:rPr>
        <w:t>Mit freundlichen Gr</w:t>
      </w:r>
      <w:r>
        <w:rPr>
          <w:rtl w:val="0"/>
          <w:lang w:val="de-DE"/>
        </w:rPr>
        <w:t>üß</w:t>
      </w:r>
      <w:r>
        <w:rPr>
          <w:rtl w:val="0"/>
          <w:lang w:val="de-DE"/>
        </w:rPr>
        <w:t xml:space="preserve">en, </w:t>
      </w:r>
    </w:p>
    <w:p>
      <w:pPr>
        <w:pStyle w:val="Normal.0"/>
      </w:pPr>
    </w:p>
    <w:p>
      <w:pPr>
        <w:pStyle w:val="Normal.0"/>
        <w:rPr>
          <w:outline w:val="0"/>
          <w:color w:val="4f81bd"/>
          <w:u w:color="4f81bd"/>
          <w14:textFill>
            <w14:solidFill>
              <w14:srgbClr w14:val="4F81BD"/>
            </w14:solidFill>
          </w14:textFill>
        </w:rPr>
      </w:pPr>
      <w:r>
        <w:rPr>
          <w:outline w:val="0"/>
          <w:color w:val="4f81bd"/>
          <w:u w:color="4f81bd"/>
          <w:rtl w:val="0"/>
          <w:lang w:val="de-DE"/>
          <w14:textFill>
            <w14:solidFill>
              <w14:srgbClr w14:val="4F81BD"/>
            </w14:solidFill>
          </w14:textFill>
        </w:rPr>
        <w:t>[Name der/des Bevollm</w:t>
      </w:r>
      <w:r>
        <w:rPr>
          <w:outline w:val="0"/>
          <w:color w:val="4f81bd"/>
          <w:u w:color="4f81bd"/>
          <w:rtl w:val="0"/>
          <w:lang w:val="de-DE"/>
          <w14:textFill>
            <w14:solidFill>
              <w14:srgbClr w14:val="4F81BD"/>
            </w14:solidFill>
          </w14:textFill>
        </w:rPr>
        <w:t>ä</w:t>
      </w:r>
      <w:r>
        <w:rPr>
          <w:outline w:val="0"/>
          <w:color w:val="4f81bd"/>
          <w:u w:color="4f81bd"/>
          <w:rtl w:val="0"/>
          <w:lang w:val="de-DE"/>
          <w14:textFill>
            <w14:solidFill>
              <w14:srgbClr w14:val="4F81BD"/>
            </w14:solidFill>
          </w14:textFill>
        </w:rPr>
        <w:t>chtigten]</w:t>
      </w:r>
    </w:p>
    <w:p>
      <w:pPr>
        <w:pStyle w:val="Normal.0"/>
        <w:spacing w:after="120"/>
        <w:rPr>
          <w:outline w:val="0"/>
          <w:color w:val="4f81bd"/>
          <w:u w:color="4f81bd"/>
          <w14:textFill>
            <w14:solidFill>
              <w14:srgbClr w14:val="4F81BD"/>
            </w14:solidFill>
          </w14:textFill>
        </w:rPr>
      </w:pPr>
      <w:r>
        <w:rPr>
          <w:outline w:val="0"/>
          <w:color w:val="4f81bd"/>
          <w:u w:color="4f81bd"/>
          <w:rtl w:val="0"/>
          <w:lang w:val="de-DE"/>
          <w14:textFill>
            <w14:solidFill>
              <w14:srgbClr w14:val="4F81BD"/>
            </w14:solidFill>
          </w14:textFill>
        </w:rPr>
        <w:t>[Unterschrift der/des Bevollm</w:t>
      </w:r>
      <w:r>
        <w:rPr>
          <w:outline w:val="0"/>
          <w:color w:val="4f81bd"/>
          <w:u w:color="4f81bd"/>
          <w:rtl w:val="0"/>
          <w:lang w:val="de-DE"/>
          <w14:textFill>
            <w14:solidFill>
              <w14:srgbClr w14:val="4F81BD"/>
            </w14:solidFill>
          </w14:textFill>
        </w:rPr>
        <w:t>ä</w:t>
      </w:r>
      <w:r>
        <w:rPr>
          <w:outline w:val="0"/>
          <w:color w:val="4f81bd"/>
          <w:u w:color="4f81bd"/>
          <w:rtl w:val="0"/>
          <w:lang w:val="de-DE"/>
          <w14:textFill>
            <w14:solidFill>
              <w14:srgbClr w14:val="4F81BD"/>
            </w14:solidFill>
          </w14:textFill>
        </w:rPr>
        <w:t>chtigten]</w:t>
      </w:r>
    </w:p>
    <w:p>
      <w:pPr>
        <w:pStyle w:val="Normal.0"/>
      </w:pPr>
    </w:p>
    <w:p>
      <w:pPr>
        <w:pStyle w:val="Normal.0"/>
      </w:pPr>
      <w:r/>
    </w:p>
    <w:sectPr>
      <w:headerReference w:type="default" r:id="rId4"/>
      <w:headerReference w:type="first" r:id="rId5"/>
      <w:footerReference w:type="default" r:id="rId6"/>
      <w:footerReference w:type="first" r:id="rId7"/>
      <w:pgSz w:w="11900" w:h="16840" w:orient="portrait"/>
      <w:pgMar w:top="1417" w:right="1417" w:bottom="1134" w:left="1417"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Normal.0"/>
      </w:pPr>
      <w:r>
        <w:rPr>
          <w:rStyle w:val="footnote reference"/>
        </w:rPr>
        <w:footnoteRef/>
      </w:r>
      <w:r>
        <w:rPr>
          <w:sz w:val="20"/>
          <w:szCs w:val="20"/>
          <w:rtl w:val="0"/>
          <w:lang w:val="de-DE"/>
        </w:rPr>
        <w:t xml:space="preserve"> der Asylfolgeantrag ist grunds</w:t>
      </w:r>
      <w:r>
        <w:rPr>
          <w:sz w:val="20"/>
          <w:szCs w:val="20"/>
          <w:rtl w:val="0"/>
          <w:lang w:val="de-DE"/>
        </w:rPr>
        <w:t>ä</w:t>
      </w:r>
      <w:r>
        <w:rPr>
          <w:sz w:val="20"/>
          <w:szCs w:val="20"/>
          <w:rtl w:val="0"/>
          <w:lang w:val="de-DE"/>
        </w:rPr>
        <w:t>tzlich pers</w:t>
      </w:r>
      <w:r>
        <w:rPr>
          <w:sz w:val="20"/>
          <w:szCs w:val="20"/>
          <w:rtl w:val="0"/>
          <w:lang w:val="de-DE"/>
        </w:rPr>
        <w:t>ö</w:t>
      </w:r>
      <w:r>
        <w:rPr>
          <w:sz w:val="20"/>
          <w:szCs w:val="20"/>
          <w:rtl w:val="0"/>
          <w:lang w:val="de-DE"/>
        </w:rPr>
        <w:t xml:space="preserve">nlich zu stellen (vgl. </w:t>
      </w:r>
      <w:r>
        <w:rPr>
          <w:sz w:val="20"/>
          <w:szCs w:val="20"/>
          <w:rtl w:val="0"/>
          <w:lang w:val="de-DE"/>
        </w:rPr>
        <w:t xml:space="preserve">§ </w:t>
      </w:r>
      <w:r>
        <w:rPr>
          <w:sz w:val="20"/>
          <w:szCs w:val="20"/>
          <w:rtl w:val="0"/>
          <w:lang w:val="de-DE"/>
        </w:rPr>
        <w:t>71 Abs. 2 AsylG). Etwas anderes kann gelten, wenn eine Au</w:t>
      </w:r>
      <w:r>
        <w:rPr>
          <w:sz w:val="20"/>
          <w:szCs w:val="20"/>
          <w:rtl w:val="0"/>
          <w:lang w:val="de-DE"/>
        </w:rPr>
        <w:t>ß</w:t>
      </w:r>
      <w:r>
        <w:rPr>
          <w:sz w:val="20"/>
          <w:szCs w:val="20"/>
          <w:rtl w:val="0"/>
          <w:lang w:val="de-DE"/>
        </w:rPr>
        <w:t>enstelle coronabedingt geschlossen ist, da man dann am pers</w:t>
      </w:r>
      <w:r>
        <w:rPr>
          <w:sz w:val="20"/>
          <w:szCs w:val="20"/>
          <w:rtl w:val="0"/>
          <w:lang w:val="de-DE"/>
        </w:rPr>
        <w:t>ö</w:t>
      </w:r>
      <w:r>
        <w:rPr>
          <w:sz w:val="20"/>
          <w:szCs w:val="20"/>
          <w:rtl w:val="0"/>
          <w:lang w:val="de-DE"/>
        </w:rPr>
        <w:t>nlichen Erscheinen gehindert ist (</w:t>
      </w:r>
      <w:r>
        <w:rPr>
          <w:sz w:val="20"/>
          <w:szCs w:val="20"/>
          <w:rtl w:val="0"/>
          <w:lang w:val="de-DE"/>
        </w:rPr>
        <w:t xml:space="preserve">§ </w:t>
      </w:r>
      <w:r>
        <w:rPr>
          <w:sz w:val="20"/>
          <w:szCs w:val="20"/>
          <w:rtl w:val="0"/>
          <w:lang w:val="de-DE"/>
        </w:rPr>
        <w:t>71 Abs. 2 S. 3 AsylG).</w:t>
      </w:r>
    </w:p>
  </w:footnote>
  <w:footnote w:id="2">
    <w:p>
      <w:pPr>
        <w:pStyle w:val="footnote text"/>
      </w:pPr>
      <w:r>
        <w:rPr>
          <w:outline w:val="0"/>
          <w:color w:val="4f81bd"/>
          <w:u w:color="4f81bd"/>
          <w:vertAlign w:val="superscript"/>
          <w14:textFill>
            <w14:solidFill>
              <w14:srgbClr w14:val="4F81BD"/>
            </w14:solidFill>
          </w14:textFill>
        </w:rPr>
        <w:footnoteRef/>
      </w:r>
      <w:r>
        <w:rPr>
          <w:rFonts w:cs="Arial Unicode MS" w:eastAsia="Arial Unicode MS"/>
          <w:rtl w:val="0"/>
          <w:lang w:val="de-DE"/>
        </w:rPr>
        <w:t xml:space="preserve"> zust</w:t>
      </w:r>
      <w:r>
        <w:rPr>
          <w:rFonts w:cs="Arial Unicode MS" w:eastAsia="Arial Unicode MS" w:hint="default"/>
          <w:rtl w:val="0"/>
          <w:lang w:val="de-DE"/>
        </w:rPr>
        <w:t>ä</w:t>
      </w:r>
      <w:r>
        <w:rPr>
          <w:rFonts w:cs="Arial Unicode MS" w:eastAsia="Arial Unicode MS"/>
          <w:rtl w:val="0"/>
          <w:lang w:val="de-DE"/>
        </w:rPr>
        <w:t>ndig ist jene Au</w:t>
      </w:r>
      <w:r>
        <w:rPr>
          <w:rFonts w:cs="Arial Unicode MS" w:eastAsia="Arial Unicode MS" w:hint="default"/>
          <w:rtl w:val="0"/>
          <w:lang w:val="de-DE"/>
        </w:rPr>
        <w:t>ß</w:t>
      </w:r>
      <w:r>
        <w:rPr>
          <w:rFonts w:cs="Arial Unicode MS" w:eastAsia="Arial Unicode MS"/>
          <w:rtl w:val="0"/>
          <w:lang w:val="de-DE"/>
        </w:rPr>
        <w:t>enstelle, die der Aufnahmeeinrichtung zugeordnet ist, in welcher der Antragsteller w</w:t>
      </w:r>
      <w:r>
        <w:rPr>
          <w:rFonts w:cs="Arial Unicode MS" w:eastAsia="Arial Unicode MS" w:hint="default"/>
          <w:rtl w:val="0"/>
          <w:lang w:val="de-DE"/>
        </w:rPr>
        <w:t>ä</w:t>
      </w:r>
      <w:r>
        <w:rPr>
          <w:rFonts w:cs="Arial Unicode MS" w:eastAsia="Arial Unicode MS"/>
          <w:rtl w:val="0"/>
          <w:lang w:val="de-DE"/>
        </w:rPr>
        <w:t>hrend des fr</w:t>
      </w:r>
      <w:r>
        <w:rPr>
          <w:rFonts w:cs="Arial Unicode MS" w:eastAsia="Arial Unicode MS" w:hint="default"/>
          <w:rtl w:val="0"/>
          <w:lang w:val="de-DE"/>
        </w:rPr>
        <w:t>ü</w:t>
      </w:r>
      <w:r>
        <w:rPr>
          <w:rFonts w:cs="Arial Unicode MS" w:eastAsia="Arial Unicode MS"/>
          <w:rtl w:val="0"/>
          <w:lang w:val="de-DE"/>
        </w:rPr>
        <w:t xml:space="preserve">heren Asylverfahrens zu wohnen verpflichtet war (vgl. </w:t>
      </w:r>
      <w:r>
        <w:rPr>
          <w:rFonts w:cs="Arial Unicode MS" w:eastAsia="Arial Unicode MS" w:hint="default"/>
          <w:rtl w:val="0"/>
          <w:lang w:val="de-DE"/>
        </w:rPr>
        <w:t xml:space="preserve">§ </w:t>
      </w:r>
      <w:r>
        <w:rPr>
          <w:rFonts w:cs="Arial Unicode MS" w:eastAsia="Arial Unicode MS"/>
          <w:rtl w:val="0"/>
          <w:lang w:val="de-DE"/>
        </w:rPr>
        <w:t>71 Abs. 2 AsylG).</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